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0C" w:rsidRPr="0030670C" w:rsidRDefault="0030670C" w:rsidP="003067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 Камчатского края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29.12.2017 № 282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УЧЕТНАЯ ПОЛИТИКА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Министерства финансов Камчатского края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0670C" w:rsidRPr="0030670C" w:rsidRDefault="0030670C" w:rsidP="0030670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Нормативные документы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Настоящая Учетная политика предназначена для формирования полной и достоверной информации о финансовом, имущественном положении и финансовых результатах деятельности Министерства финансов Камчатского края.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Настоящая Учетная политика разработана на основании и с учетом требований и принципов, изложенных в следующих нормативных документах: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Федеральный закон "О бухгалтерском учете" от 06.12.2011г. № 402-ФЗ (далее – Закон 402-ФЗ);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31.12.2016 №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(далее – Приказ 256н);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31.12.2016 № 257н "Об утверждении федерального стандарта бухгалтерского учета для организаций государственного сектора "Основные средства" (далее – Приказ 257н);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31.12.2016 № 258н "Об утверждении федерального стандарта бухгалтерского учета для организаций государственного сектора "Аренда" (далее – Приказ 258н);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31.12.2016 № 259н "Об утверждении федерального стандарта бухгалтерского учета для организаций государственного сектора "Обесценение активов" (далее – Приказ 259н);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31.12.2016 № 260н "Об утверждении федерального стандарта бухгалтерского учета для организаций государственного сектора "Представление бухгалтерской (финансовой) отчетности" (далее – Приказ 260н);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РФ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157н);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01.07. 2013г. № 65н "Об утверждении Указаний о порядке применения бюджетной классификации Российской Федерации";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приказ Минфина России от 28.12.2010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– Приказ 52н);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28.12.2010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Федерации"»;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России от 20.11.2007 № 112н "Об Общих требованиях к порядку составления, утверждения и ведения бюджетных смет казенных учреждений";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приказ Минфина РФ от 13.06.1995 № 49 "Об утверждении Методических указаний по инвентаризации имущества и финансовых обязательств" (далее – Приказ 49);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Указание Банка России от 11.03.2014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(далее – Указание 3210-У).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0670C" w:rsidRPr="0030670C" w:rsidRDefault="0030670C" w:rsidP="0030670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Принципы ведения учета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Министерство финансов Камчатского края (далее – Министерство) является главным распорядителем (распорядителем), получателем средств краевого бюджета, главным администратором (администратором) доходов краевого бюджета, главным администратором (администратором) источников финансирования дефицита краевого бюджета.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К бухгалтерскому учету принимаются первичные учетные документы,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 (п. 3 Инструкции 157н). Внутренний контроль в соответствии с обозначенным принципом осуществляют: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этапе составления первичного документа – ответственный исполнитель, указанный в Графике документооборота (Приложение 3 к настоящей Учетной политике);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 этапе регистрации первичного документа – соответствующий специалист бухгалтерской службы, ответственный за регистрацию документа и указанный в Графике документооборота (Приложение 3 к настоящей Учетной политике).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Утвержденная Учетная политика применяется последовательно от одного отчетного года к другому (п. 5 Закона 402-ФЗ). Изменения в Учетную политику принимаются приказом Министерства в одном из следующих случаев (п. 6 Закона 402-ФЗ):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 изменении требований, установленных законодательством РФ о бухгалтерском учете, федеральными или отраслевыми стандартами;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при разработке или выборе нового способа ведения бухгалтерского учета, применение которого приводит к повышению качества информации об объекте бухгалтерского учета;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в случае существенного изменения условий деятельности экономического субъекта.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>Раздел 1. Об организации учетного процесса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учетной работы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Ведение бюджетного учета в Министерстве осуществляется в соответствии с Соглашением по финансовому, информационно-техническому, материальному обеспечению деятельности, а также обеспечению деятельности по ведению бюджетного учета, делопроизводства и архивной работы от 10 ноября 2015 года, краевым государственным бюджетным учреждением «Центр финансового обеспечения» (далее – КГБУ ЦФО).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Работники КГБУ ЦФО несут ответственность за состояние бухгалтерского учета и достоверность контролируемых ими показателей бюджетной отчетности. Деятельность работников КГБУ ЦФО регламентируется их должностными инструкциями.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 главного бухгалтера КГБУ ЦФО по документальному оформлению фактов хозяйственной жизни и представлению необходимых документов и сведений обязательны для всех работников Министерства.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Главному бухгалтеру КГБУ ЦФО запрещается принимать к исполнению и оформлению документы, по операциям, противоречащим законодательству и нарушающим договорную и финансовую дисциплину.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Обработка учетной информации и подготовка отчетов осуществляется с применением программных продуктов «1-С Бухгалтерия государственного учреждения», «Управление мастер-данными организации», «СКИФ».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Правила документооборота и технология обработки учетной информации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Первичные учетные документы и учетные регистры составляются: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 унифицированным формам, установленным Приказом 52н;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 формам, разработанным самостоятельно, с учетом обязательных реквизитов, предусмотренных п. 7 (п. 11) Инструкции 157н. Порядок применения таких форм утверждается в настоящей Учетной политике. Разработанные самостоятельно учетные регистры оформлены Приложением № 8, 9, 14 к Учетной политике.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первичных учетных документах могут содержаться дополнительные реквизиты в целях получения дополнительной информации для бухгалтерского или налогового учета.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ответственные за оформление факта хозяйственной жизни и </w:t>
      </w: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подписавшие эти документы, поименованные в Графике документооборота (Приложение 3 к Учетной политике) (п. 9 Инструкции 157н).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Перечень должностных лиц, имеющих право подписи первичных учетных документов, денежных и расчетных документов, финансовых обязательств приведен в Приложении 10 к Учетной политике.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Проверенные и принятые к учету первичные учетные документы систематизируются по датам совершения операции (в хронологическом порядке) и отражаются накопительным способом в регистрах бюджетного учета.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Сформированные регистры сдаются главному бухгалтеру КГБУ ЦФО не позднее 3-го числа месяца, следующего за отчетным.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Регистры бюджетного учета формируются в электронном виде без применения электронной подписи. Периодичность формирования регистров бухгалтерского учета на бумажных носителях установлена Приложением 11 к Учетной политике.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 хранения первичных документов определяется в соответствии с номенклатурой дел Министерства, согласованной с Агентством по делам архивов Камчатского края.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Формирование рабочего Плана счетов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Рабочий план счетов бухгалтерского учета - систематизированный перечень счетов бухгалтерского учета формируется на основании Единого Плана счетов бухгалтерского учета. Рабочий план счетов бухгалтерского учета установлен Приложением 1 к Учетной политике.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формировании рабочего плана счетов, применяются следующие коды вида финансового обеспечения (деятельности):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«1» деятельность, осуществляемая за счет средств соответствующего бюджета бюджетной системы Российской Федерации (бюджетная деятельность);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«3» средства во временном распоряжении.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Министерстве применяются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забалансовые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счета. Перечень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забалансовых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счетов установлен Приложением 2 к Учетной политике.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Порядок проведения инвентаризации имущества и обязательств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Инвентаризация проводится в соответствии Методическими указаниями по инвентаризации имущества и финансовых обязательств, утвержденными Приказом 49.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проведения инвентаризации приказом Министерства (постановление Госкомстата РФ от 18.08.1998 № 88) создается инвентаризационная комиссия. Приказ о проведении инвентаризации </w:t>
      </w: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подлежат регистрации в журнале учета контроля за выполнением приказов (постановлений, распоряжений) о проведении инвентаризации (постановление Госкомстата РФ от 18.08.1998 № 88).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Особенности проведения инвентаризации перед годовой отчетностью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Обязательная инвентаризация перед составлением годовой отчетности проводится с учетом следующих положений (п. 1.5 Приказа 49):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перед составлением годовой отчетности инвентаризации подлежит все имущество и обязательства как на балансовых, так и на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забалансовых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счетах (п. 332 Инструкции 157н);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инвентаризация имущества перед составлением годовой бюджетной отчетности начинается в сроки, установлен Приложением 4 к Учетной политике. Результаты инвентаризации имущества, проведенной в четвертом квартале отчетного года по иным основаниям зачитываются в составе годовой инвентаризации имущества;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Внеплановые инвентаризации проводятся при смене материально ответственных лиц, при установлении фактов хищений или злоупотреблений, а также при порче ценностей, стихийных бедствиях, пожарах и других чрезвычайных происшествиях.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проведении годовой инвентаризации инвентаризационная комиссия применяет положения Федерального стандарта «Обесценение активов»: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выявляет внутренние и внешние признаки обесценения актива индивидуально (п. 6 Приказа 259н):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1) для каждого актива, не генерирующего денежные потоки;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2) для каждого актива, генерирующего денежные потоки;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3) для единицы, генерирующей денежные потоки;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наличие внутренних или внешних признаков обесценения инвентаризационная комиссия обозначает в графе «Примечание» соответствующих инвентаризационных описей;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выявляет наличие внутренних или внешних признаков снижения убытка от обесценения активов (п. 18 Приказа 259н) – для активов, по которым в предыдущих отчетных периодах был признан убыток от обесценения;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наличие внутренних или внешних признаков восстановления убытка инвентаризационная комиссия обозначает в графе «Примечание» соответствующих инвентаризационных описей;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выносит рекомендации по необходимости оценки справедливой стоимости Комиссией по поступлению и выбытию активов для тех активов, по которым были обнаружены признаки обесценения или восстановления убытка от обесценения – в разделе «Заключение комиссии» соответствующих инвентаризационных описей.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проведении годовой инвентаризации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(п. 47 Приказа 256н). В случае если комиссия не уверена в будущем повышении (снижении) полезного потенциала либо увеличении (уменьшении) будущих экономических выгод по соответствующим инвентаризируемым объектам, выносится рекомендация для руководителя Министерства о прекращении признания объекта бухгалтерского учета – в разделе «Заключение комиссии» соответствующих инвентаризационных описей.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При составлении инвентаризационной описи (сличительной ведомости) по объектам нефинансовых активов (ф. 0504087) используются следующие коды: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6232"/>
      </w:tblGrid>
      <w:tr w:rsidR="0030670C" w:rsidRPr="0030670C" w:rsidTr="0030670C">
        <w:trPr>
          <w:jc w:val="center"/>
        </w:trPr>
        <w:tc>
          <w:tcPr>
            <w:tcW w:w="9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графе 8 указывается информация о состоянии объекта имущества на дату инвентаризации с учетом оценки его технического состояния и (или) степени вовлеченности в хозяйственный оборот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Описание кода</w:t>
            </w:r>
          </w:p>
        </w:tc>
      </w:tr>
      <w:tr w:rsidR="0030670C" w:rsidRPr="0030670C" w:rsidTr="0030670C">
        <w:trPr>
          <w:jc w:val="center"/>
        </w:trPr>
        <w:tc>
          <w:tcPr>
            <w:tcW w:w="9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Для объектов основных средств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«Э»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эксплуатации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«Р»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ремонт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«К»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Находится на консервации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«НВ»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введен в эксплуатацию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«НТ»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соответствует требованиям эксплуатации</w:t>
            </w:r>
          </w:p>
        </w:tc>
      </w:tr>
      <w:tr w:rsidR="0030670C" w:rsidRPr="0030670C" w:rsidTr="0030670C">
        <w:trPr>
          <w:jc w:val="center"/>
        </w:trPr>
        <w:tc>
          <w:tcPr>
            <w:tcW w:w="9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Для объектов материальных запасов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«З»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запасе для использования 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«Х»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запасе на хранении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«НК»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надлежащего качества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Повреждены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«ИС»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Истек срок хранения</w:t>
            </w:r>
          </w:p>
        </w:tc>
      </w:tr>
      <w:tr w:rsidR="0030670C" w:rsidRPr="0030670C" w:rsidTr="0030670C">
        <w:trPr>
          <w:jc w:val="center"/>
        </w:trPr>
        <w:tc>
          <w:tcPr>
            <w:tcW w:w="9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Для объектов незавершенного строительства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Строительство ведется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«К»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Стройка законсервирована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Строительство приостановлено без консервации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«В»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Передается в собственность другому субъекту учета</w:t>
            </w:r>
          </w:p>
        </w:tc>
      </w:tr>
      <w:tr w:rsidR="0030670C" w:rsidRPr="0030670C" w:rsidTr="0030670C">
        <w:trPr>
          <w:jc w:val="center"/>
        </w:trPr>
        <w:tc>
          <w:tcPr>
            <w:tcW w:w="9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графе 9 указывается информация о возможных способах вовлечения объектов инвентаризации в хозяйственный оборот, использования в целях получения экономической выгоды (извлечения полезного потенциала) либо при отсутствии возможности - о способах выбытия объекта</w:t>
            </w:r>
          </w:p>
        </w:tc>
      </w:tr>
      <w:tr w:rsidR="0030670C" w:rsidRPr="0030670C" w:rsidTr="0030670C">
        <w:trPr>
          <w:jc w:val="center"/>
        </w:trPr>
        <w:tc>
          <w:tcPr>
            <w:tcW w:w="9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Для объектов основных средств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«Э»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Эксплуатация 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«В»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Подлежит вводу в эксплуатацию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«Р»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Планируется ремонт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«К»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консервация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«М»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Требуется модернизация, достройка, дооборудование объекта 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Списание и утилизация (при необходимости) </w:t>
            </w:r>
          </w:p>
        </w:tc>
      </w:tr>
      <w:tr w:rsidR="0030670C" w:rsidRPr="0030670C" w:rsidTr="0030670C">
        <w:trPr>
          <w:jc w:val="center"/>
        </w:trPr>
        <w:tc>
          <w:tcPr>
            <w:tcW w:w="9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Для объектов материальных запасов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«Э»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Планируется использование в деятельности 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«Х»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Продолжение хранения объектов 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Требуется списание </w:t>
            </w:r>
          </w:p>
        </w:tc>
      </w:tr>
      <w:tr w:rsidR="0030670C" w:rsidRPr="0030670C" w:rsidTr="0030670C">
        <w:trPr>
          <w:jc w:val="center"/>
        </w:trPr>
        <w:tc>
          <w:tcPr>
            <w:tcW w:w="9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Для объектов незавершенного строительства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Строительство продолжается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«К»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Требуется консервация </w:t>
            </w:r>
          </w:p>
        </w:tc>
      </w:tr>
      <w:tr w:rsidR="0030670C" w:rsidRPr="0030670C" w:rsidTr="0030670C">
        <w:trPr>
          <w:jc w:val="center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«В»</w:t>
            </w:r>
          </w:p>
        </w:tc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70C" w:rsidRPr="0030670C" w:rsidRDefault="0030670C" w:rsidP="003067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Передается в собственность другому субъекту учета</w:t>
            </w:r>
          </w:p>
        </w:tc>
      </w:tr>
    </w:tbl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результатам инвентаризации председатель инвентаризационной комиссии подготавливает руководителю Министерства предложения: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 отнесению недостач имущества, а также имущества, пришедшего в негодность, на счет виновных лиц либо их списанию (п. 51 Инструкции 157н);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 оприходованию излишков;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по урегулированию расхождений фактического наличия материальных ценностей с данными бухгалтерского учета при пересортице путем проведения взаимного зачета излишков и недостач, возникших в ее результате;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 списанию нереальной к взысканию дебиторской и невостребованной кредиторской задолженности – на основании проведенной инвентаризации расчетов с приложением: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1) инвентаризационной описи расчетов с покупателями, поставщиками и прочими дебиторами, и кредиторами (ф. 0504089);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2) инвентаризационной описи расчетов по поступлениям (ф. 0504091).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отражения событий после отчетной даты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отражения в учете событий после отчетной даты регламентируется Приложением 6 к Учетной политике.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Внутренний финансовый контроль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Внутренний финансовый контроль проводится на основании Положения о внутреннем финансовом контроле Министерства (Приложение 7 к Учетной политике).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  <w:t>Раздел 2. О способах ведения бухгалтерского учета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Нефинансовые активы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Нефинансовые активы для целей настоящего раздела -  основные средства, нематериальные и непроизведенные активы, материальные запасы (включая готовую продукцию и товары для перепродажи).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Объекты нефинансовых активов принимаются к бухгалтерскому учету по их первоначальной стоимости. Первоначальной стоимостью объектов, полученных в результате обменных операций признается в случае приобретения за счет средств бюджета выделенных на приобретение таких объектов – сумма фактических вложений в приобретение, сооружение и изготовление объектов нефинансовых активов, с учетом сумм НДС.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К необменным операциям относится приобретение основных средств по незначимым ценам по отношению к рыночной цене обменной операции с подобными активами (п. 7 Приказа 257н). Существенной скидкой для применения настоящего положения считается скидка от рыночной цены считается скидка более 60%. Первоначальной стоимостью основного средства в таком случае принимается его справедливая стоимость, определенная на дату принятия к учету по методу рыночных цен.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Субъектом учета формируется постоянно действующая Комиссия по поступлению и выбытию объектов нефинансовых активов (Приложение 12 к Учетной политике).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случаях, когда требуется принятие к бюджетному учету объектов нефинансовых активов по оценочной стоимости или по справедливой стоимости, она определяется решением Комиссии по поступлению и выбытию активов на дату принятия к бюджетному учету.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Принятие к учету объектов основных средств, нематериальных, непроизведенных активов, материальных запасов, в отношении которых установлен срок эксплуатации, а также выбытие основных средств, нематериальных, непроизведенных активов, материальных запасов, в отношении которых установлен срок эксплуатации, (в том числе в результате принятия решения об их списании) осуществляется, на основании решения постоянно действующей Комиссии по поступлению и выбытию активов (п. 34 Инструкции 157н).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Основные средства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Единицей бюджетного учета основных средств является инвентарный объект.  Инвентарным объектом является: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объект имущества со всеми приспособлениями и принадлежностями;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отдельный конструктивно обособленный предмет, предназначенный для выполнения определенных самостоятельных функций;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обособленный комплекс конструктивно-сочлененных предметов, представляющих собой единое целое и предназначенных для выполнения определенной работы.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качестве одного инвентарного объекта учитывается компьютеры в комплекте: монитор, системный блок, мышь, клавиатура. В случае если мониторы являются самостоятельными устройствами вывода информации (информационные панели), они учитываются как самостоятельные инвентарные объекты основных средств. Решение о выделении таких объектов в качестве самостоятельных объектов основных средств принимается Комиссией по поступлению и выбытию активов при принятии к учету.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установки для монитора и системного блока разных сроков полезного использования Министерство имеем право учитывать части комплекса как самостоятельные инвентарные объекты. (п. 10 Приказа 257н).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признании объекта основных средств Комиссией по поступлению и выбытию активов определяется состав инвентарного объекта с учетом следующих положений: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однородные объекты основных средств (приобретенные у одного поставщика по одной стоимости в рамках одного договора или контракта) стоимостью до 100 000,00 рублей, объединяются в один инвентарный объект, признаваемый для целей бухгалтерского учета комплексом объектов основных средств. Учет данных объектов ведется в одной Инвентарной карточке группового учета нефинансовых активов (ф. 0504032);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единицей учета основных средств может признаваться часть объекта имущества, в отношении которой самостоятельно можно определить период поступления будущих экономических выгод, полезного потенциала, либо часть имущества, имеющая отличный от остальных частей срок полезного использования, и стоимость которой составляет значительную (более 50%) величину от общей стоимости объекта имущества (далее - </w:t>
      </w:r>
      <w:r w:rsidRPr="003067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структурная часть объекта основных средств</w:t>
      </w: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 принятии к учету Комиссия по поступлению и выбытию активов определяет составные части объекта основных средств. Сведения о составе регистрируются при заполнении раздела 5 Инвентарной карточки (ф. 0504031). При этом, Комиссия по поступлению и выбытию активов определяет основной объект, а также важнейшие пристройки, приспособления и принадлежности, относящиеся к основному объекту.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принятии к учету Комиссия по поступлению и выбытию активов относит объект основных средств к одной из следующих групп (п. 5 Приказа 259н):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активы, не генерирующие денежные потоки (Активы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нГДП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активы, генерирующие денежные потоки (Активы ГДП);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единица, генерирующая денежные потоки (Единица ГДП).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После принятия к учету основные средства могут быть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реклассифицированы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иную группу по решению Комиссии по поступлению и выбытию активов.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организации учета и обеспечения контроля за сохранностью основных средств, каждому объекту стоимостью свыше 10 000,00 рублей присваивается уникальный инвентарный порядковый номер. Структура кодовых обозначений, присваиваемых инвентарным номерам объектов основных средств (Приложение 5 к Учетной политике).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Документами аналитического учета основных средств являются: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инвентарная карточка учета нефинансовых активов (ф. 0504031);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инвентарная карточка группового учета нефинансовых активов (ф. 0504032);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инвентарный список нефинансовых активов (ф. 0504034).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Принятие к бюджетному учету объектов основных средств оформляется решением Комиссии по поступлению и выбытию активов – Актом о приеме-передаче объектов нефинансовых активов (ф. 0504101). В случае невозможности получения информации об объекте основных средств у передающей стороны, а также в случае одностороннего принятия к учету, Акт (ф. 0504031) составляется и заполняется в одностороннем порядке.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Выдача в пользование основных средств сотрудникам, не являющимся материально-ответственными лицами, оформляется как выдача имущества в личное пользование и отражается на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забалансовом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счете 27 на основании служебных записок. Документом аналитического учета по указанным объектам основных средств является Карточка (книга) учета выдачи имущества в пользование (ф. 0504206), которая ведется материально-ответственными лицами, выдающими основные средства сотрудникам в личное пользование.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Амортизация на объекты основных средств начисляется линейным методом.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Модернизация, реконструкция, ремонт основных средств производятся как собственными силами, так и с привлечением сторонних организаций.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Результаты ремонта или реконструкции (модернизации) принимаются решением Комиссии по поступлению и выбытию активов. Документом, отражающим результат проведенного ремонта или модернизации, является Акт о приеме-сдаче отремонтированных, реконструированных и модернизированных объектов основных средств. Сведения из указанного Акта заносятся в Инвентарную карточку основного средства. В случае невозможности оформления Акта в двухстороннем порядке или при отказе в заполнении Акта исполнителем ремонтных работ (работ по модернизации, достройке, дооборудованию), Акт составляется и заполняется только в одностороннем порядке.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В случае если по результатам ремонта заменяется </w:t>
      </w:r>
      <w:r w:rsidRPr="003067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структурная часть объекта основных средств,</w:t>
      </w:r>
      <w:r w:rsidRPr="0030670C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производится частичное списание основного средства с последующей его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доукомплектацией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. Если на структурную часть, включаемую в объект основных средств, Комиссия по поступлению и выбытию активов может самостоятельно определить срок полезного использования, такая структурная часть признается отдельным инвентарным объектом (п. 7 Приказа 257н).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Разукомплектация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частичное списание объекта основных средств производится на основании решения Комиссии по поступлению и выбытию активов. Документом, отражающим результат проведенной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разукомплектации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является акт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разукомплектации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Переоценка основных средств при отчуждении не в пользу организаций государственного сектора осуществляется методом увеличения (умножения) балансовой стоимости и накопленной амортизации на одинаковый коэффициент таким образом, чтобы при их суммировании получить переоцененную стоимость на дату проведения переоценки (п. 41 Приказ 257н).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Консервация объекта основных средств на срок более 3 месяцев (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расконсервация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) оформляется на основании приказа Министерства первичным учетным документом - актом о консервации (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расконсервации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) объектов основных средств. Отражение консервации (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расконсервации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) объекта основных средств на срок более 3 месяцев отражается путем внесения в инвентарную карточку объекта учета записи о консервации (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расконсервации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) объекта, без отражения по соответствующим счетам аналитического учета счета 1 10100 000 «Основные средства».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Выбытие основных средств оформляется типовыми актами на списание Комиссией по поступлению и выбытию активов. Разборка и демонтаж основных средств до утверждения соответствующих актов не допускается. Списанные объекты основных средств (а также их части), не пригодные для дальнейшего использования или продажи подлежат отражению на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забалансовом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счете 02 «Материальные ценности, принятые на хранение» до момента их утилизации (уничтожения) или до выявления новой целевой функции в условной оценке 1 рубль за 1 объект.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данных представленных утилизирующей компанией в акт на списание (</w:t>
      </w:r>
      <w:hyperlink r:id="rId4" w:anchor="/document/140/31752/" w:tooltip="ОКУД 0504104. Акт о списании объектов нефинансовых активов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ф. 0504104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) и инвентарную карточку (</w:t>
      </w:r>
      <w:hyperlink r:id="rId5" w:anchor="/document/140/31281/" w:tooltip="ОКУД 0504031. Инвентарная карточка учета нефинансовых активов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ф. 0504031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) вносятся сведения о драгметаллах, которые есть в утилизируемых основных средствах. В акте (</w:t>
      </w:r>
      <w:hyperlink r:id="rId6" w:anchor="/document/140/31752/" w:tooltip="ОКУД 0504104. Акт о списании объектов нефинансовых активов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ф. 0504104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) информация указывается в разделе «Результаты выбытия». А в инвентарной карточке (</w:t>
      </w:r>
      <w:hyperlink r:id="rId7" w:anchor="/document/140/31281/" w:tooltip="ОКУД 0504031. Инвентарная карточка учета нефинансовых активов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ф. 0504031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) заполняется раздел 5 «Краткая индивидуальная характеристика объекта». Фиксируются в них сведения о наименовании драгметаллов, их количестве, единице измерения, весе в лигатуре или массе в чистоте, по содержанию в каждом утилизируемом основном средстве (</w:t>
      </w:r>
      <w:hyperlink r:id="rId8" w:anchor="/document/99/901771424/XA00M6U2MJ/" w:tooltip="12. При списании покупных комплектующих деталей, изделий, приборов, инструментов, оборудования и при невозможности отбора для проведения анализа представительной пробы от образовавшихся...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п. 12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Правил учета и хранения драгоценных металлов, драгоценных камней и продукции из них, а также ведения соответствующей отчетности, утвержденных </w:t>
      </w:r>
      <w:hyperlink r:id="rId9" w:anchor="/document/99/901771424/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постановлением Правительства Российской Федерации от 28.09.2000 № 731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Нематериальные активы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К нематериальным активам могут быть отнесены охраняемые результаты интеллектуальной деятельности и средства индивидуализации в соответствии со статьей 1225 Гражданского кодекса Российской Федерации при удовлетворении условиям п. 56 Инструкции 157н.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Документы аналитического учета, принятия к учету и списания нематериальных активов аналогичны документам для основных средств.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Каждому инвентарному объекту нематериальных активов присваивается уникальный инвентарный номер.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Нематериальные активы, по которым невозможно надежно определить срок полезного использования, считать нематериальными активами с неопределенным сроком полезного использования. По указанным нематериальным активам в целях определения амортизационных отчислений срок полезного использования устанавливается из расчета десяти лет.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Материально-производственные запасы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К материальным запасам относятся предметы, используемые в деятельности в течение периода, не превышающего 12 месяцев, независимо от их стоимости (п. 99 Инструкции 157н). Окончательное решение о сроке полезного использования объекта имущества при его принятии к учету принимает Комиссия по поступлению и выбытию активов.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этого к материальным запасам также относятся: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канцтовары и канцелярские принадлежности, включая папки для бумаг, дыроколы,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степлеры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дискеты, CD-диски, ФЛЭШ-накопители и карты памяти и иные носители информации.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Материальные запасы принимаются к учету при приобретении - на основании документов поставщика (Товарные накладные).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наличии количественного и (или) качественного расхождения, а также несоответствия ассортимента принимаемых материальных ценностей сопроводительным документам поставщика при покупке, Комиссия по поступлению и выбытию активов составляет акт приемки материалов (ф. 0504220). Кроме этого Акт приемки материалов (ф. 0504220) применяется в случае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бездокументального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принятия к учету материальных запасов.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Оценка материальных запасов, приобретенных за плату, осуществляется по фактической стоимости приобретения с учетом расходов, непосредственно связанных с их приобретением. Фактическая стоимость материальных запасов, приобретаемых для их отражения в учете, формируется на аналитических счетах 1 10500 000 «Материальные запасы».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Фактическая стоимость материальных запасов при наличии дополнительных расходов при приобретении формируется на счете 1 10604 000 «Вложения в материальные запасы» и включает стоимость доставки, складирования и иные аналогичные расходы при условии их оформления и оплаты отдельными договорами.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Внутреннее перемещение материальных запасов внутри организации между структурными подразделениями или материально ответственными лицами оформляется Требованием-накладной (ф. 0504204).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Списание (отпуск) материальных запасов производится по средней фактической стоимости.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Списание и выдача материалов производится в следующем порядке: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списание канцелярских принадлежностей производится по Ведомости выдачи материальных ценностей на нужды учреждения (ф. 0504210);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материальные запасы, у которых истек срок годности, списываются с учета на основании Акта о списании материальных запасов (ф. 0504230) по результатам проведенной инвентаризации;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в иных случаях, не определенных настоящим пунктом Учетной политики для списания материальных запасов используется Акт о списании материальных запасов (ф. 0504230).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Денежные средства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Кассовая книга ведется ручным способом на бумажном носителе (п. 4.7 Указания 3210-У).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Ответственность за сохранность ценностей, находящихся в кассе, несет бухгалтер 1 категории КГБУ ЦФО. Любой приход и расход наличных денежных средств в кассовой книге строго фиксируется в день составления документа.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Кассовая книга шнуруется, нумеруется, опечатывается и подписывается руководителем Министерства и главным бухгалтером КГБУ ЦФО.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Прием в кассу наличных денежных средств от подотчетных лиц производится приходным кассовым ордером </w:t>
      </w:r>
      <w:hyperlink r:id="rId10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(ф. 0310001)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Выдача денежных средств из кассы производится по расходным кассовым ордерам. Документы на выдачу денежных средств подписывают руководитель и главный бухгалтер КГБУ ЦФО.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Денежные документы</w:t>
      </w:r>
    </w:p>
    <w:p w:rsidR="0030670C" w:rsidRPr="0030670C" w:rsidRDefault="0030670C" w:rsidP="0030670C">
      <w:pPr>
        <w:spacing w:before="100" w:beforeAutospacing="1" w:after="100" w:afterAutospacing="1" w:line="240" w:lineRule="auto"/>
        <w:ind w:left="2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составе денежных документов учитываются (п. 169 Инструкции 157н) почтовые марки и маркированные конверты.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Денежные документы хранятся в кассе КГБУ ЦФО. Прием в кассу и выдача из кассы таких документов оформляются приходными кассовыми ордерами </w:t>
      </w:r>
      <w:hyperlink r:id="rId11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(ф. 0310001)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расходными кассовыми ордерами </w:t>
      </w:r>
      <w:hyperlink r:id="rId12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(ф. 0310002)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оформлением на них записи "Фондовый".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Приходные и расходные кассовые ордера с записью "Фондовый" регистрируются в Журнале регистрации приходных и расходных кассовых документов отдельно от приходных и расходных кассовых ордеров, оформляющих операций с денежными средствами.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Учет операций с денежными документами ведется на отдельных листах Кассовой книги с проставлением на них записи "Фондовый".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Расчеты с дебиторами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счете 1 20500 000 «Расчеты по доходам» учитываются начисленные в момент возникновения требований к их плательщикам: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согласно заключенным договорам;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 соглашениям;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при выполнении возложенных согласно законодательству Российской Федерации функций.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Начисление доходов от штрафных санкций осуществляется на основании предъявления письменной Претензии контрагенту (признанных должником или подлежащих уплате должником на основании решения суда, вступившего в законную силу, штрафов, пеней, иных санкций) (письмо Минфина России от 29 мая 2015 г. N 02-07-10/31334). При начислении указанных доходов применяется счет 1 20940 000.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Расчеты по выданным авансам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Расчеты по предоставленным в соответствии с условиями заключенных договоров (контрактов), соглашений авансовым выплатам (кроме авансов, выданных подотчетным лицам) осуществляются с использованием счета          1 20600 000 «Расчеты по выданным авансам».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неисполнения договора (контракта) поставщиком сумма перечисленных контрагенту авансовых платежей и не возвращенных до конца отчетного финансового года подлежит начислению в сумме требований по компенсации расходов получателями авансовых платежей  по дебету счета        1 20930 000 «Расчеты по компенсации затрат» на основании предъявления письменной Претензии и требования о возврате аванса на условиях государственного контракта в адрес поставщика (исполнителя) (п. 86 Инструкции 162н, совместное письмо Минфина России и Федерального казначейства от 25.12.2014 № 02-02-04/67438 и № 42-7.4-05/5.1-805).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Расчеты с подотчетными лицами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Перечень лиц, имеющих право получать под отчет денежные средства и денежные документы, устанавливается приказом руководителя Министерства.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Максимальная сумма, подлежащая выдаче под отчет, составляет 100 000,00 рублей.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Максимальный срок выдачи подотчетной суммы устанавливается 3 месяца.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получения денежных средств под отчет работник оформляет письменное заявление.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Выдача новой подотчетной суммы допускается при отсутствии за подотчетным лицом задолженности по денежным средствам, по которым наступил срок предоставления авансового отчета.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 исключительных случаях, когда работник с разрешения руководителя произвел оплату расходов за счет собственных средств, производится возмещение этих расходов. Возмещение расходов производится по авансовому отчету работника об израсходованных средствах, утвержденному руководителем Министерства, с приложением подтверждающих документов и заявления на возмещение понесенных расходов. Заявление и авансовый отчет должны быть предоставлены руководителю Министерства не позднее 1 месяца с момента осуществления таких расходов.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Выплата компенсации подотчетному лицу осуществляется в течении 15 календарных дней со дня представления подтверждающих документов.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Порядок и размер возмещения расходов, связанных со служебными командировками, устанавливается в соответствии с Законом Камчатского края от 15.09.2008 № 118 «О порядке и условиях </w:t>
      </w: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командирования лиц, замещающих государственные должности Камчатского края и государственных гражданских служащих Камчатского края».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направлении лица, замещающего государственную должность Камчатского края, или краевого гражданского служащего в служебную командировку ему выдается денежный аванс на оплату расходов по проезду, по найму жилого помещения и суточные.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Лица, получившие наличные деньги под отчет на командировку, обязаны не позднее 3 рабочих дней со дня возвращения из командировки представить в КГБУ ЦФО авансовый отчет об израсходованных суммах и произвести окончательный расчет по ним. Возмещение перерасхода аванса работнику осуществляется в течении 15 календарных дней со дня представления подтверждающих документов.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Лицам, направляемым в командировку, перечисляются средства на банковские счета физических лиц – сотрудников Министерства в целях осуществления ими с использованием карт физических лиц, выданных в рамках «зарплатных» проектов, оплаты командировочных расходов.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при увольнении (или смерти) работника своевременно не произведен расчет по подотчетным суммам до конца отчетного года, сумма дебиторской задолженности, отраженная на счете 1 20800 </w:t>
      </w:r>
      <w:proofErr w:type="gram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000</w:t>
      </w:r>
      <w:proofErr w:type="gram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переносится в дебет счета 1 20930 000 «Расчеты по компенсации затрат». В аналогичном порядке переносится задолженность по подотчетным лицам, с которыми осуществляется претензионная работа, в том числе в случае оспаривания сумм задолженности (п. 86 Инструкции 162н).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Передача выданных под отчет наличных денег одним лицом другому возможна лишь при наличии доверенности от материально-ответственного лица.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9 Положения по ведению бухгалтерского учета и бухгалтерской отчетности в Российской Федерации (утверждено приказом Минфина России от 29.07.1998 № 34н), документирование имущества, обязательств и иных фактов хозяйственной деятельности, ведение регистров бухгалтерского учета и бухгалтерской отчетности осуществляется на русском языке. Первичные учетные документы, составленные на иных языках, должны иметь построчный перевод на русский язык.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 При этом в отношении электронного авиабилета (письмо Федеральной налоговой службы от 26.04.2010г. № ШС-37-3/656) отсутствует необходимость построчного перевода электронного авиабилета. При принятии электронного авиабилета к учету следует иметь в виду следующее: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 Билеты, используемые для удостоверения договоров воздушной перевозки пассажира, имеют унифицированную международную форму и согласно статье 105 Воздушного кодекса Российской Федерации оформляются на бумажном носителе или в электронной форме. Электронный билет находится в автоматизированной информационной системе оформления воздушных перевозок в электронно-цифровой форме. Пассажиру выдается выписка из автоматизированной информационной системы, содержащая основные условия договора воздушной перевозки пассажира. Установленный порядок подразумевает выдачу пассажиру на бумажном носителе только маршрут/квитанции. Форма электронного пассажирского билета и багажной квитанции утверждены приказом Минтранса России от 08.11.2006 № 134. При этом, фамилия, имя пассажира записываются в билет так, как это предусмотрено приказом МВД РФ от 26.05.1997 № 310 «Об утверждении Инструкции о порядке оформления и выдачи паспортов гражданам РФ и выезда из РФ и въезда в РФ», а именно, набором букв с использованием латиницы способом транслитерации букв кириллицы на соответствующие буквы или сочетания букв латиницы.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Месяц даты отправления рейса; наименование и (или) коды аэропортов/пунктов отправления и назначения; код валюты; и форма оплаты представлены в билете кодом на латинице из соответствующего Единого международного кодификатора.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Расчеты с персоналом по оплате труда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Расчеты с работниками по оплате труда и прочим выплатам осуществляются через личные банковские карты работников. Перечисление сумм заработной платы, прочих выплат на банковские карты работников отражается проводкой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Дт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1 30211 830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Кт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 30405 211 (письмо Минфина России от 08.07.2015 № 02-07-07/39464).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Табель учета использования рабочего времени (ф. 0504421) ведется по отклонениям от нормального использования рабочего времени (Приказ 52н).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Аналитический учет расчетов по оплате труда ведется в Журнале операций расчетов по оплате труда (п. 257 Инструкции 157н).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Расчеты по обязательствам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Взаимозачет встречных однородных требований (при наличии дебиторской задолженности по одному договору и кредиторской задолженности по другому договору, заключенным с одним поставщиком) не производится.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списания задолженностей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Кредиторская задолженность, по которой истек срок исковой давности, и дебиторская задолженность по доходам, нереальная к взысканию, определяются в бухгалтерском учете по результатам проведенной инвентаризации обязательств. Нереальными ко взысканию признаются: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долги, по которым истек установленный срок исковой давности (ст. 196 Гражданского кодекса Российской Федерации);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долги, по которым обязательство прекращено вследствие невозможности его исполнения (ст. 416 Гражданского кодекса Российской Федерации);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долги, по которым обязательство прекращено на основании акта органа государственной власти или органа местного самоуправления (ст. 417 Гражданского кодекса Российской Федерации);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долги, по которым обязательство прекращено смертью должника (ст. 418 Гражданского кодекса Российской Федерации);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долги, по которым обязательство прекращено ликвидацией организации (ст. 419 Гражданского кодекса Российской Федерации).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выявлении указанных долгов Инвентаризационная комиссия заполняет по ним отдельную Инвентаризационную опись (ф. 0504091 или ф. 0504089) и дает рекомендацию руководителю Министерства о списании задолженности.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Списание задолженности нереальной к взысканию оформляется Решением Комиссии по поступлению и выбытию активов по приказу руководителя Министерства.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Суммы непредъявленных кредиторами требований, вытекающих из условий договора, контракта, в том числе суммы кредиторской задолженности, не подтвержденные по результатам инвентаризации </w:t>
      </w: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кредитором, подлежат списанию на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забалансовый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 20 на основании Решения Инвентаризационной комиссии по приказу руководителя Министерства.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Дебиторская задолженность списывается с балансового учета и отражается на </w:t>
      </w:r>
      <w:hyperlink r:id="rId13" w:anchor="/document/99/902249301/ZA00M6I2MG/" w:tooltip="Счет 04 Задолженность неплатежеспособных дебиторов" w:history="1">
        <w:proofErr w:type="spellStart"/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забалансовом</w:t>
        </w:r>
        <w:proofErr w:type="spellEnd"/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 счете 04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«Задолженность неплатежеспособных дебиторов» на основании Решения Инвентаризационной комиссии по приказу руководителя Министерства (п. </w:t>
      </w:r>
      <w:hyperlink r:id="rId14" w:anchor="/document/99/902249301/XA00MAK2N1/" w:tooltip="339. Счет предназначен для учета задолженности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...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339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hyperlink r:id="rId15" w:anchor="/document/99/902249301/XA00M1O2LU/" w:tooltip="340. Аналитический учет по счету ведется в Карточке учета средств и расчетов в разрезе видов поступлений (выплат),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340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Инструкции 157н).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Отдельные виды доходов и расходов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Расходы признаются в том отчетном периоде, к которому они относятся, независимо от времени фактической выплаты денежных средств.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К доходам будущих периодов, учитываемых на счете 1 40140 182 относятся «Доходы будущих периодов от безвозмездного права пользования».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состав расходов будущих периодов, учитываемых на счете 1 40150 000, включаются: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расходы на приобретение лицензионного компьютерного программного обеспечения, которые относятся на расходы в течение пяти лет с месяца приобретения в случае, когда в лицензионном договоре срок его действия не определен (п. 4 ст. 1235 ГК РФ);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расходы на приобретение лицензионного компьютерного программного обеспечения, которые относятся на расходы в течение периода, указанного в пользовательской лицензии.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Расходы будущих периодов списываются на финансовый результат текущего финансового года равномерно в течение периода, к которому они относятся.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Резервы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Резервы учитываются на счетах 1 40160 000. Министерство создает резерв на оплату отпусков. Резерв для предстоящей оплаты отпусков рассчитывается за фактически отработанное время, включая платежи на обязательное социальное страхование сотрудника (служащего)– по счетам 1 40160 211 (213).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расчете резерва Министерство пользуется положениями письма Минфина России от 20.05.2015 № 02-07-07/28998. Расчет резерва на отпуска делается главным бухгалтером КГБУ ЦФО по состоянию на 31 декабря отчетного года исходя из планируемого количества дней отпуска служащих в соответствующем году согласно сведениям отдела правового и кадрового обеспечения Министерства и средней заработной платы.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Резерв используется только на покрытие тех затрат, в отношении которых этот резерв был изначально создан. При этом признание в учете расходов, в отношении которых сформирован резерв предстоящих расходов, осуществляется за счет суммы созданного резерва.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Санкционирование расходов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принятия обязательств и денежных обязательств установлен в Приложении 13 к Учетной политике.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поступлении документов, корректирующих стоимость отраженных расходов, затрат, проводятся соответствующие корректировочные записи по операциям санкционирования.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окончании текущего финансового года в случае, если неисполненные бюджетные обязательства планируются к исполнению за счет расходов следующего финансового года, они должны быть приняты к учету (перерегистрированы) в следующем финансовом году в объеме, запланированном к исполнению в следующем финансовом году.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Участия в подведомственных бюджетных учреждениях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hyperlink r:id="rId16" w:anchor="/document/99/902249301/ZAP161234F/" w:tooltip="2 0 4 3 3 Участие в государственных (муниципальных) учреждениях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счете 1 20433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000 «Участие в государственных (муниципальных) учреждениях» отражается показатель участия в подведомственном бюджетном учреждении в стоимостной оценке, равной балансовой стоимости </w:t>
      </w:r>
      <w:hyperlink r:id="rId17" w:anchor="/document/12/149135/ej1112/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особо ценного имущества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(ОЦИ) этого учреждения.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К особо ценному относится имущество, которым подведомственное учреждение не вправе распоряжаться самостоятельно, а именно: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недвижимое имущество бюджетного учреждения (вне зависимости от источника его приобретения);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особо ценное движимое имущество бюджетного учреждения, учитываемое по КФО 4.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Показатель счета 1 20433 000 должен быть сопоставим со счетом 1 21006 000 «Расчеты с учредителем» в учете подведомственного учреждения. Корректировку показателей </w:t>
      </w:r>
      <w:hyperlink r:id="rId18" w:anchor="/document/99/902249301/ZAP161234F/" w:tooltip="2 0 4 3 3 Участие в государственных (муниципальных) учреждениях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счета 1 20433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000 следует проводить на сумму изменения показателей счета 1 21006 000. Основание – извещение (</w:t>
      </w:r>
      <w:hyperlink r:id="rId19" w:anchor="/document/140/27827/" w:tooltip="Извещение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ф. 0504805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) от подведомственного учреждения. Корректировка производится один раз в год – при составлении годовой отчетности.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Применение отдельных видов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забалансовых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счетов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забалансовом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счете 01 «Имущество, полученное в пользование» подлежит учету: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программное обеспечение, приобретаемое по пользовательской лицензии – по цене приобретения (общей стоимости по договору за весь срок пользования), а при невозможности ее определения исходя из условий договора – в условной оценке один рубль за один объект;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находящиеся в пользовании материальные объекты, предоставленные балансодержателем при выполнении возложенных на него функций по организационно-техническому обеспечению учреждений – по стоимости, указанной в передаточных документах, а при ее отсутствии – в условной оценке один рубль за один объект.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забалансовом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счете 02 «Материальные ценности, принятые (принимаемые) на хранение»</w:t>
      </w: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подлежат учету: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- имущество, в отношении которого принято решение о списании, до момента его демонтажа (утилизации, уничтожения) или выявления иной целевой функции – в условной оценке один рубль за один объект;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имущество сотрудников в пользовании сотрудников – в условной оценке один рубль за один объект, принимаемое к учету согласно служебным запискам, подписанным руководителем Министерства.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забалансовом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счете 04 «Задолженность неплатежеспособных дебиторов» учитывается задолженность дебиторов, нереальная к взысканию. Основанием для списания с баланса и принятия к учету задолженности на счет 04 являются Решение Комиссии по поступлению и выбытию активов. Суммы задолженностей, отраженные на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забалансовом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счете 04 подлежат ежегодной инвентаризации для целей отслеживания срока возможного возобновления. Списание задолженности с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забалансового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учета осуществляется на основании решения Комиссии по поступлению и выбытию активов о признании задолженности безнадежной к взысканию (п. 339 Инструкции 157н).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забалансовом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счете 20 «Задолженность, невостребованная кредиторами» учитываются суммы просроченной задолженности, не востребованной кредиторами, списанные с баланса на основании решения Инвентаризационной комиссии Министерства: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по истечении пяти лет отражения задолженности на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забалансовом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учете;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 завершении срока возможного возобновления процедуры взыскания задолженности согласно действующему законодательству;</w:t>
      </w: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       - при наличии документов, подтверждающих прекращение обязательства в связи со смертью (ликвидацией) контрагента.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Кредиторская задолженность списывается отдельно по каждому обязательству (кредитору) (п. </w:t>
      </w:r>
      <w:hyperlink r:id="rId20" w:anchor="/document/99/902249301/XA00M7I2MS/" w:tooltip="371. Счет предназначен для учета сумм непредъявленных кредиторами требований, вытекающих из условий договора, контракта, в том числе сумм кредиторской задолженности, не подтвержденных...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371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hyperlink r:id="rId21" w:anchor="/document/99/902249301/XA00M842MV/" w:tooltip="372. Аналитический учет по счету организуется в разрезе видов выплат (поступлений), по которым на балансе учреждения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372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Инструкции 157н).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забалансовом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счете 21 «Основные средства в эксплуатации»</w:t>
      </w: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учитываются находящиеся в эксплуатации объекты основных средств стоимостью до 10 000,00 рублей включительно, за исключением объектов библиотечного фонда и объектов недвижимого имущества.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Учет ведется по балансовой стоимости введенного в эксплуатацию объекта.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Документом о списании объектов с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забалансового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счета является Акт о списании объектов нефинансовых активов (кроме транспортных </w:t>
      </w:r>
      <w:proofErr w:type="gram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средств)   </w:t>
      </w:r>
      <w:proofErr w:type="gram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(ф. 0504104)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забалансовом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счете 27 «Материальные ценности, выданные в личное пользование работникам (сотрудникам)» учитываются объекты, списанные с балансового счета 1 10500 000 в момент выдачи в личное пользование.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Документом аналитического учета имущества, выданного в личное пользование является Карточка (книга) учета выдачи имущества в пользование (ф. 0504206), которая подлежит оформлению на каждого сотрудника, получающего имущество.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Списание имущества с </w:t>
      </w:r>
      <w:proofErr w:type="spellStart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забалансового</w:t>
      </w:r>
      <w:proofErr w:type="spellEnd"/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счета оформляется решением Комиссии по поступлению и выбытию активов Актом о списании материальных запасов (ф. 0504230) с указанием причины списания.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ind w:left="4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3. Организация налогового учета</w:t>
      </w:r>
    </w:p>
    <w:p w:rsidR="0030670C" w:rsidRPr="0030670C" w:rsidRDefault="0030670C" w:rsidP="0030670C">
      <w:pPr>
        <w:spacing w:before="100" w:beforeAutospacing="1" w:after="100" w:afterAutospacing="1" w:line="240" w:lineRule="auto"/>
        <w:ind w:left="4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Налог на доходы физических лиц, расчеты по страховым взносам на обязательное социальное страхование, медицинское страхование, пенсионное страхование на выплату страховой части трудовой пенсии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Начисление заработной платы производится с использованием</w:t>
      </w: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программного продукта «Заработная плата» (ИП Веснин И.А.).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Аналитический учет расчетов по оплате труда и прочим денежным выплатам ведется в </w:t>
      </w:r>
      <w:hyperlink r:id="rId22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Журнале операций № 6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расчетов по оплате труда.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Записи операций в </w:t>
      </w:r>
      <w:hyperlink r:id="rId23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Журнале № 6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осуществляются ежемесячно на основании данных расчетных ведомостей и ведомостей начисления страховых взносов по обязательному пенсионному страхованию, страховых взносов по социальному страхованию, страховых взносов от несчастных случаев на производстве и профессиональных заболеваний.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Учет сумм начисленных выплат и иных вознаграждений, выплаченных физическим лицам, а также сумм страховых взносов на пенсионное страхование страховой части трудовой пенсии производится по каждому физическому лицу, в пользу которого осуществляются выплаты.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Применяемые регистры налогового учета:</w:t>
      </w:r>
    </w:p>
    <w:p w:rsidR="0030670C" w:rsidRPr="0030670C" w:rsidRDefault="0030670C" w:rsidP="0030670C">
      <w:pPr>
        <w:spacing w:before="100" w:beforeAutospacing="1" w:after="100" w:afterAutospacing="1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индивидуальная карточка-справка учета сумм начисленных выплат и иных вознаграждений, утвержденная приказом Минфина России от 15.12.2010 № 173н (ф. 0504417);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регистр налогового учета по налогу на доходы физических лиц (Приложение № 8 к Учетной политике);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индивидуальная карточка учета сумм начисленных выплат и иных вознаграждений, сумм начисленных страховых взносов на обязательное пенсионное и социальное страхование (Приложение № 9 к Учетной политике);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- </w:t>
      </w: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сводный отчет начислений и удержаний;</w:t>
      </w:r>
    </w:p>
    <w:p w:rsidR="0030670C" w:rsidRPr="0030670C" w:rsidRDefault="0030670C" w:rsidP="0030670C">
      <w:pPr>
        <w:spacing w:before="100" w:beforeAutospacing="1" w:after="100" w:afterAutospacing="1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расчетная ведомость по страховым взносам.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Лицом, ответственными за ведение регистров налогового учета, указанных в п.п.3.1, является главный бухгалтер КГБУ ЦФО или лицо его заменяющее.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выплате заработной платы, сотрудники Министерства извещаются расчётным листком (Приложение 2 к Приказу от 29.12.2017 № 282).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0670C" w:rsidRPr="0030670C" w:rsidRDefault="0030670C" w:rsidP="0030670C">
      <w:pPr>
        <w:spacing w:before="100" w:beforeAutospacing="1" w:after="100" w:afterAutospacing="1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Налог на имущество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начисления и уплаты налога на имущество производится в соответствии с главой 30 Налогового кодекса Российской Федерации, Законом Камчатского края от 22.11.2007 № 688 «О налоге на имущество в Камчатском крае».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</w:t>
      </w:r>
      <w:hyperlink r:id="rId24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пунктом 1 статьи 373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Налогового кодекса Российской Федерации плательщиками налога на имущество являются организации, имеющие имущество, признаваемое объектом налогообложения в соответствии со </w:t>
      </w:r>
      <w:hyperlink r:id="rId25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статьей 374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Налогового кодекса Российской Федерации.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целях исчисления налога на имущество принимается в расчет стоимость только тех объектов, которые согласно установленному порядку ведения бухгалтерского учета учитываются в составе основных средств. 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В соответствии с </w:t>
      </w:r>
      <w:hyperlink r:id="rId26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пунктами 36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hyperlink r:id="rId27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92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Инструкции 157 н операции по принятию недвижимого имущества к бухгалтерскому учету на праве оперативного управления отражаются с момента государственной регистрации такого права. Следовательно, стоимость недвижимого имущества включается госучреждениями в налоговую базу по налогу на имущество только после регистрации в установленном порядке права оперативного управления (</w:t>
      </w:r>
      <w:hyperlink r:id="rId28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письмо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Минфина России от 11.02.2013 № 03-05-04-01/3250).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</w:t>
      </w:r>
      <w:hyperlink r:id="rId29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пункта 1 статьи 375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Налогового кодекса Российской Федерации </w:t>
      </w:r>
      <w:hyperlink r:id="rId30" w:history="1">
        <w:r w:rsidRPr="0030670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налоговая база</w:t>
        </w:r>
      </w:hyperlink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определяется как среднегодовая стоимость имущества, признаваемого объектом налогообложения. При этом имущество учитывается по его остаточной стоимости, сформированной в соответствии с установленным порядком ведения бухгалтерского (бюджетного) учета. Кроме того, с 1 января 2014 года налоговая база в отношении отдельных объектов недвижимого имущества определяется как их кадастровая стоимость по состоянию на 1 января года налогового периода.</w:t>
      </w:r>
    </w:p>
    <w:p w:rsidR="0030670C" w:rsidRPr="0030670C" w:rsidRDefault="0030670C" w:rsidP="00306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0C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Ответственной за ведение учета расчетов по налогу на имущество, начисление и уплату авансовых платежей, составление и предоставление налоговой декларации в ИФНС по г. Петропавловску-Камчатскому является главный бухгалтер КГБУ ЦФО.</w:t>
      </w:r>
    </w:p>
    <w:p w:rsidR="00361AF2" w:rsidRDefault="00361AF2"/>
    <w:sectPr w:rsidR="0036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9F"/>
    <w:rsid w:val="0024219F"/>
    <w:rsid w:val="0030670C"/>
    <w:rsid w:val="003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F8754-403F-408E-BD22-F78616F4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70C"/>
    <w:rPr>
      <w:b/>
      <w:bCs/>
    </w:rPr>
  </w:style>
  <w:style w:type="character" w:styleId="a5">
    <w:name w:val="Emphasis"/>
    <w:basedOn w:val="a0"/>
    <w:uiPriority w:val="20"/>
    <w:qFormat/>
    <w:rsid w:val="0030670C"/>
    <w:rPr>
      <w:i/>
      <w:iCs/>
    </w:rPr>
  </w:style>
  <w:style w:type="character" w:styleId="a6">
    <w:name w:val="Hyperlink"/>
    <w:basedOn w:val="a0"/>
    <w:uiPriority w:val="99"/>
    <w:semiHidden/>
    <w:unhideWhenUsed/>
    <w:rsid w:val="00306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garantf1://12080849.203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sfinansy.ru/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consultantplus://offline/ref=20E65FD6A25CC92C7CC21F46727BA51322DD683C062F2FDE57B1E00956CB44916BD14FDF972C4Bd4u6H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garantf1://10800200.37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://www.gosfinansy.ru/" TargetMode="External"/><Relationship Id="rId29" Type="http://schemas.openxmlformats.org/officeDocument/2006/relationships/hyperlink" Target="garantf1://10800200.3751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consultantplus://offline/ref=20E65FD6A25CC92C7CC21F46727BA51322DD683C062F2FDE57B1E00956CB44916BD14FDF972D41d4u2H" TargetMode="External"/><Relationship Id="rId24" Type="http://schemas.openxmlformats.org/officeDocument/2006/relationships/hyperlink" Target="garantf1://10800200.3731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sfinansy.ru/" TargetMode="External"/><Relationship Id="rId15" Type="http://schemas.openxmlformats.org/officeDocument/2006/relationships/hyperlink" Target="http://www.gosfinansy.ru/" TargetMode="External"/><Relationship Id="rId23" Type="http://schemas.openxmlformats.org/officeDocument/2006/relationships/hyperlink" Target="garantf1://12042669.1620/" TargetMode="External"/><Relationship Id="rId28" Type="http://schemas.openxmlformats.org/officeDocument/2006/relationships/hyperlink" Target="garantf1://70217080.0/" TargetMode="External"/><Relationship Id="rId10" Type="http://schemas.openxmlformats.org/officeDocument/2006/relationships/hyperlink" Target="consultantplus://offline/ref=8BB2FF63433490AD08285535E4E4032DFB16DA6E3E24EEAA3DCB3F06DC2D9182526DFF4D2B3523xAr3H" TargetMode="External"/><Relationship Id="rId19" Type="http://schemas.openxmlformats.org/officeDocument/2006/relationships/hyperlink" Target="https://www.gosfinansy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gosfinansy.ru/" TargetMode="Externa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://www.gosfinansy.ru/" TargetMode="External"/><Relationship Id="rId22" Type="http://schemas.openxmlformats.org/officeDocument/2006/relationships/hyperlink" Target="garantf1://12042669.1620/" TargetMode="External"/><Relationship Id="rId27" Type="http://schemas.openxmlformats.org/officeDocument/2006/relationships/hyperlink" Target="garantf1://12080849.2092/" TargetMode="External"/><Relationship Id="rId30" Type="http://schemas.openxmlformats.org/officeDocument/2006/relationships/hyperlink" Target="garantf1://5797653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8008</Words>
  <Characters>45647</Characters>
  <Application>Microsoft Office Word</Application>
  <DocSecurity>0</DocSecurity>
  <Lines>380</Lines>
  <Paragraphs>107</Paragraphs>
  <ScaleCrop>false</ScaleCrop>
  <Company/>
  <LinksUpToDate>false</LinksUpToDate>
  <CharactersWithSpaces>53548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Виталий Сергеевич</dc:creator>
  <cp:keywords/>
  <dc:description/>
  <cp:lastModifiedBy>Вальчук Виталий Сергеевич</cp:lastModifiedBy>
  <cp:revision>2</cp:revision>
  <dcterms:created xsi:type="dcterms:W3CDTF">2020-06-18T02:17:00Z</dcterms:created>
  <dcterms:modified xsi:type="dcterms:W3CDTF">2020-06-18T02:17:00Z</dcterms:modified>
</cp:coreProperties>
</file>