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B15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B159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  <w:bookmarkStart w:id="2" w:name="_GoBack"/>
      <w:bookmarkEnd w:id="2"/>
    </w:p>
    <w:p w:rsidR="00675EBE" w:rsidRDefault="00675EBE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9D3">
        <w:rPr>
          <w:rFonts w:ascii="Times New Roman" w:hAnsi="Times New Roman" w:cs="Times New Roman"/>
          <w:sz w:val="28"/>
          <w:szCs w:val="28"/>
        </w:rPr>
        <w:t>2 19 90000 02 0000 150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B159D3" w:rsidRPr="00B159D3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30"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5B5530"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B159D3">
        <w:rPr>
          <w:rFonts w:ascii="Times New Roman" w:hAnsi="Times New Roman" w:cs="Times New Roman"/>
          <w:sz w:val="28"/>
          <w:szCs w:val="28"/>
        </w:rPr>
        <w:t>сельского хозяйства, пищевой и перерабатывающей промышленности</w:t>
      </w:r>
      <w:r w:rsidR="005B5530"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B159D3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EBE" w:rsidRPr="00A31F99" w:rsidRDefault="00675EBE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 07 02030 02 0000 150 «Прочие безвозмездные поступления в бюджеты субъектов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 xml:space="preserve">части 1 настоящего приказа, считать Министерство жилищно-коммунального хозяйства и энергетики Камчатского края, код главного администратора доходов 810. </w:t>
      </w:r>
    </w:p>
    <w:p w:rsidR="00576D34" w:rsidRDefault="000F112F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5B5530" w:rsidRDefault="005B5530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001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 </w:t>
            </w:r>
          </w:p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5B5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30" w:rsidRDefault="005B5530" w:rsidP="0000191B">
            <w:pPr>
              <w:tabs>
                <w:tab w:val="left" w:pos="213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5B553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Алексеева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BE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20E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851D-2214-4ECF-B4A7-32D8E83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8</cp:revision>
  <cp:lastPrinted>2021-12-23T21:48:00Z</cp:lastPrinted>
  <dcterms:created xsi:type="dcterms:W3CDTF">2022-07-14T22:09:00Z</dcterms:created>
  <dcterms:modified xsi:type="dcterms:W3CDTF">2022-07-27T04:36:00Z</dcterms:modified>
</cp:coreProperties>
</file>