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2B98B" w14:textId="77777777" w:rsidR="0000320D" w:rsidRPr="0000320D" w:rsidRDefault="0000320D" w:rsidP="0000320D">
      <w:pPr>
        <w:widowControl w:val="0"/>
        <w:tabs>
          <w:tab w:val="left" w:pos="709"/>
        </w:tabs>
        <w:autoSpaceDE w:val="0"/>
        <w:autoSpaceDN w:val="0"/>
        <w:spacing w:after="0" w:line="360" w:lineRule="auto"/>
        <w:ind w:right="282"/>
        <w:jc w:val="center"/>
        <w:rPr>
          <w:rFonts w:eastAsia="Times New Roman"/>
          <w:b/>
          <w:kern w:val="0"/>
          <w:lang w:eastAsia="ar-SA"/>
          <w14:ligatures w14:val="none"/>
        </w:rPr>
      </w:pPr>
      <w:r w:rsidRPr="0000320D">
        <w:rPr>
          <w:rFonts w:eastAsia="Times New Roman"/>
          <w:b/>
          <w:kern w:val="0"/>
          <w:lang w:eastAsia="ar-SA"/>
          <w14:ligatures w14:val="none"/>
        </w:rPr>
        <w:t>Акт сверки расчетов</w:t>
      </w:r>
    </w:p>
    <w:p w14:paraId="5DD4D253" w14:textId="77777777" w:rsidR="0000320D" w:rsidRPr="0000320D" w:rsidRDefault="0000320D" w:rsidP="0000320D">
      <w:pPr>
        <w:widowControl w:val="0"/>
        <w:tabs>
          <w:tab w:val="left" w:pos="709"/>
        </w:tabs>
        <w:autoSpaceDE w:val="0"/>
        <w:autoSpaceDN w:val="0"/>
        <w:spacing w:after="0" w:line="360" w:lineRule="auto"/>
        <w:ind w:right="282"/>
        <w:jc w:val="center"/>
        <w:rPr>
          <w:rFonts w:eastAsia="Times New Roman"/>
          <w:kern w:val="0"/>
          <w:lang w:eastAsia="ar-SA"/>
          <w14:ligatures w14:val="none"/>
        </w:rPr>
      </w:pPr>
      <w:r w:rsidRPr="0000320D">
        <w:rPr>
          <w:rFonts w:eastAsia="Times New Roman"/>
          <w:kern w:val="0"/>
          <w:lang w:eastAsia="ar-SA"/>
          <w14:ligatures w14:val="none"/>
        </w:rPr>
        <w:t xml:space="preserve"> (код формы 0510477)</w:t>
      </w:r>
    </w:p>
    <w:p w14:paraId="4895A945" w14:textId="77777777" w:rsidR="0000320D" w:rsidRPr="0000320D" w:rsidRDefault="0000320D" w:rsidP="0000320D">
      <w:pPr>
        <w:widowControl w:val="0"/>
        <w:tabs>
          <w:tab w:val="left" w:pos="709"/>
        </w:tabs>
        <w:autoSpaceDE w:val="0"/>
        <w:autoSpaceDN w:val="0"/>
        <w:spacing w:after="0" w:line="360" w:lineRule="auto"/>
        <w:ind w:right="282"/>
        <w:jc w:val="center"/>
        <w:rPr>
          <w:rFonts w:eastAsia="Times New Roman"/>
          <w:kern w:val="0"/>
          <w:lang w:eastAsia="ar-SA"/>
          <w14:ligatures w14:val="none"/>
        </w:rPr>
      </w:pPr>
    </w:p>
    <w:p w14:paraId="308BA438" w14:textId="77777777" w:rsidR="0000320D" w:rsidRPr="0000320D" w:rsidRDefault="0000320D" w:rsidP="0000320D">
      <w:pPr>
        <w:autoSpaceDE w:val="0"/>
        <w:autoSpaceDN w:val="0"/>
        <w:adjustRightInd w:val="0"/>
        <w:spacing w:after="0" w:line="360" w:lineRule="auto"/>
        <w:ind w:firstLine="851"/>
        <w:jc w:val="both"/>
        <w:rPr>
          <w:rFonts w:eastAsia="Times New Roman"/>
          <w:color w:val="000000"/>
          <w:kern w:val="0"/>
          <w:lang w:eastAsia="ru-RU"/>
          <w14:ligatures w14:val="none"/>
        </w:rPr>
      </w:pPr>
      <w:r w:rsidRPr="0000320D">
        <w:rPr>
          <w:rFonts w:eastAsia="Times New Roman"/>
          <w:color w:val="000000"/>
          <w:kern w:val="0"/>
          <w:lang w:eastAsia="ru-RU"/>
          <w14:ligatures w14:val="none"/>
        </w:rPr>
        <w:t>64. 190. Акт сверки расчетов (ф. 0510477) (далее – Акт (ф. 0510477) применяется субъектом учета для отражения результатов сверки расчетов: с контрагентами по правовым основаниям на поставку товаров, оказание услуг, выполнение работ; по администрируемым доходам (за исключением доходов, администрируемых ФНС России); по кредитам, займам (ссудам); с прочими дебиторами, учтенными на счете 021005000 «Расчеты с прочими дебиторами»; по средствам, полученным во временное распоряжение, учтенным на счете 330401000 «Расчеты по средствам, полученным во временное распоряжение».</w:t>
      </w:r>
    </w:p>
    <w:p w14:paraId="7827BE40"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Акт (ф. 0510477) не применяется: для сверки расчетов по счету 030100000 «Расчеты с кредиторами по долговым обязательствам»; для сверки расчетов с</w:t>
      </w:r>
      <w:r w:rsidRPr="0000320D">
        <w:rPr>
          <w:rFonts w:eastAsia="Times New Roman"/>
          <w:kern w:val="0"/>
          <w:sz w:val="24"/>
          <w:szCs w:val="24"/>
          <w:lang w:eastAsia="ar-SA"/>
          <w14:ligatures w14:val="none"/>
        </w:rPr>
        <w:t> </w:t>
      </w:r>
      <w:r w:rsidRPr="0000320D">
        <w:rPr>
          <w:rFonts w:eastAsia="Times New Roman"/>
          <w:color w:val="000000"/>
          <w:kern w:val="0"/>
          <w:lang w:eastAsia="ru-RU"/>
          <w14:ligatures w14:val="none"/>
        </w:rPr>
        <w:t>работниками (сотрудниками) субъекта учета (например, по расчетам по заработной плате, учтенными на счетах 030211000 «Расчеты по заработной плате» и 020611000 «Расчеты по заработной плате», по расчетам по с подотчетными лицами, учтенными на счете 020800000 «Расчеты с подотчетными лицами).</w:t>
      </w:r>
    </w:p>
    <w:p w14:paraId="27BA8926"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 xml:space="preserve">64.191. Акт (ф. 0510477) формируется по состоянию на дату проведения инвентаризации с дебиторами (кредиторами), по которым имеются ненулевые остатки на дату проведения инвентаризации, на дату исполнения сторонами обязательств по договору (соглашению), если такое требование установлено заключенным договором (соглашением), в иных случаях (например, по решению субъекта учета, при наличии соответствующего запроса). </w:t>
      </w:r>
    </w:p>
    <w:p w14:paraId="3A2C3FDC"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Акт (ф. 0510477) формируется ответственным исполнителем бухгалтерской службы. Если бухгалтерский учет ведется по группе дебиторов (кредиторов), Акт (ф. 0510477) формируется ответственным исполнителем, осуществляющим ведение персонифицированного управленческого.</w:t>
      </w:r>
    </w:p>
    <w:p w14:paraId="4E9AB895"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 xml:space="preserve">64.192. В заголовочной части Акта (ф. 0510477) в реквизитах </w:t>
      </w:r>
      <w:r w:rsidRPr="0000320D">
        <w:rPr>
          <w:rFonts w:eastAsia="Times New Roman"/>
          <w:color w:val="000000"/>
          <w:kern w:val="0"/>
          <w:lang w:eastAsia="ru-RU"/>
          <w14:ligatures w14:val="none"/>
        </w:rPr>
        <w:lastRenderedPageBreak/>
        <w:t>отражаются:</w:t>
      </w:r>
    </w:p>
    <w:p w14:paraId="20A807EB"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«Наименование контрагента» - полное наименование контрагента с указанием в кодовой зоне основного государственного регистрационного номера юридического лица (ОГРН), идентификационного номера налогоплательщика (ИНН), кода причины постановки на учет в налоговом органе (КПП). ОГРН, ИНН, КПП заполняются при их наличии;</w:t>
      </w:r>
    </w:p>
    <w:p w14:paraId="69448967"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«Дата начала» – дата начала периода сверки в формате «ДД.ММ.ГГГГ»;</w:t>
      </w:r>
    </w:p>
    <w:p w14:paraId="055815C1"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«Дата окончания» – дата окончания периода сверки в формате «ДД.ММ.ГГГГ».</w:t>
      </w:r>
    </w:p>
    <w:p w14:paraId="1F473EB8"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Дата начала периода сверки меньше или равна дате окончания периода сверки.</w:t>
      </w:r>
    </w:p>
    <w:p w14:paraId="0B3DD5C4"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Акт (ф. 0510475) формируется в разрезе правовых оснований. По каждому правовому основанию указываются его реквизиты: наименование, номер, дата в формате «ДД.ММ.ГГГГ», идентификатор (при наличии), краткое содержание предмета правового основания.</w:t>
      </w:r>
    </w:p>
    <w:p w14:paraId="5E3E672A"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64.193. В содержательной части Акта (ф. 0510477) в соответствующих разделах отражаются следующие реквизиты.</w:t>
      </w:r>
    </w:p>
    <w:p w14:paraId="1B08A17C"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В разделе 1 «По данным учреждения» (далее – Раздел 1) отражаются:</w:t>
      </w:r>
    </w:p>
    <w:p w14:paraId="3527C2C0"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в графе 1 – наименование показателя, который в соответствующих строках принимает одно из значений: «сальдо расчетов начальное по контрагенту всего», «сальдо расчетов начальное по договору», «операции за период сверки по договору», «обороты за период по договору», «сальдо расчетов конечное по договору», «в том числе по номеру счета». Строка с наименованием показателя «операции за период сверки по договору» добавляется подстроками по каждой операции бухгалтерского учета по выбранному контрагенту и правовому основанию с указанием в графе «Наименование показателя» содержания бухгалтерской операции;</w:t>
      </w:r>
    </w:p>
    <w:p w14:paraId="51671C23"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в графе 2 – код валюты по Общероссийскому классификатору валют (ОКВ);</w:t>
      </w:r>
    </w:p>
    <w:p w14:paraId="7BAF4320"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 xml:space="preserve">в графах 3 – 7 – сумма в иностранной валюте по дебету счета: всего, в </w:t>
      </w:r>
      <w:r w:rsidRPr="0000320D">
        <w:rPr>
          <w:rFonts w:eastAsia="Times New Roman"/>
          <w:color w:val="000000"/>
          <w:kern w:val="0"/>
          <w:lang w:eastAsia="ru-RU"/>
          <w14:ligatures w14:val="none"/>
        </w:rPr>
        <w:lastRenderedPageBreak/>
        <w:t>том числе: по основному долгу, по начисленным процентам (по начисленным и неуплаченным процентам), по штрафным санкциям за нецелевое использование средств, по штрафам (пеням) за несвоевременный возврат и неуплату процентов соответственно (графа 3 равна сумме граф 4 – 7 по соответствующей строке). Графы 5 - 7 заполняется для сверки состояния расчетов по кредитам, займам (ссудам). Для сверки расчетов с иными дебиторами (кредиторами) графы 5 – 7 не заполняются;</w:t>
      </w:r>
    </w:p>
    <w:p w14:paraId="0DAF2FB8"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 xml:space="preserve">в графах 8 – 12 – сумма в рублях (рублевом эквиваленте) по дебету счета: всего, в том числе: по основному долгу, по начисленным процентам </w:t>
      </w:r>
      <w:r w:rsidRPr="0000320D">
        <w:rPr>
          <w:rFonts w:eastAsia="Times New Roman"/>
          <w:color w:val="000000"/>
          <w:kern w:val="0"/>
          <w:lang w:eastAsia="ru-RU"/>
          <w14:ligatures w14:val="none"/>
        </w:rPr>
        <w:br/>
        <w:t xml:space="preserve">(по начисленным и неуплаченным процентам), по штрафным санкциям за нецелевое использование средств, по штрафам (пеням) за несвоевременный возврат и неуплату процентов соответственно (графа 8 равна сумме граф 9 – 12 по соответствующей строке). Графы 10 - 12 заполняется для сверки состояния расчетов по кредитам, займам (ссудам). Для сверки расчетов с иными дебиторами (кредиторами) </w:t>
      </w:r>
      <w:r w:rsidRPr="0000320D">
        <w:rPr>
          <w:rFonts w:eastAsia="Times New Roman"/>
          <w:color w:val="000000"/>
          <w:kern w:val="0"/>
          <w:lang w:eastAsia="ru-RU"/>
          <w14:ligatures w14:val="none"/>
        </w:rPr>
        <w:br/>
        <w:t>графы 10 – 12 не заполняются;</w:t>
      </w:r>
    </w:p>
    <w:p w14:paraId="14C65A85"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в графах 13 – 17 – сумма в иностранной валюте по кредиту счета: всего, в том числе: по основному долгу, по начисленным процентам (по начисленным и неуплаченным процентам), по штрафным санкциям за нецелевое использование средств, по штрафам (пеням) за несвоевременный возврат и неуплату процентов соответственно (графа 13 равна сумме граф 14 – 17 по соответствующей строке). Графы 15 - 17 заполняется для сверки расчетов по кредитам, займам (ссудам). Для  верки расчетов с иными дебиторами (кредиторами) графы 15 – 17 не заполняются;</w:t>
      </w:r>
    </w:p>
    <w:p w14:paraId="188B6E65"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 xml:space="preserve">в графах 18 – 22 – сумма в рублях (рублевом эквиваленте) по кредиту счета: всего, в том числе: по основному долгу, по начисленным процентам (по начисленным и неуплаченным процентам), по штрафным санкциям за нецелевое использование средств, по штрафам (пеням) за несвоевременный возврат и неуплату процентов соответственно (графа 18 равна сумме граф 19 – 22 по соответствующей строке). Графы 20 - 22 заполняется для сверки </w:t>
      </w:r>
      <w:r w:rsidRPr="0000320D">
        <w:rPr>
          <w:rFonts w:eastAsia="Times New Roman"/>
          <w:color w:val="000000"/>
          <w:kern w:val="0"/>
          <w:lang w:eastAsia="ru-RU"/>
          <w14:ligatures w14:val="none"/>
        </w:rPr>
        <w:lastRenderedPageBreak/>
        <w:t>расчетов по кредитам, займам (ссудам). Для сверки расчетов с иными дебиторами (кредиторами) графы 20 – 22 не заполняются;</w:t>
      </w:r>
    </w:p>
    <w:p w14:paraId="3816D682"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в графах 23 – 25 - наименование первичного учетного документа, являющегося основанием для отражения факта хозяйственной жизни, указанного по соответствующей строке графы 1, его номер и дата в формате «ДД.ММ.ГГГГ» соответственно.</w:t>
      </w:r>
    </w:p>
    <w:p w14:paraId="5F300D72"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Раздел 1 Акта (ф. 0510477) содержит информацию по всем правовым основаниям, заключенными с контрагентом, с подсчетом итогов по каждому правовому основанию, и раскрытием итогов в разрезе счетов бухгалтерского учета.</w:t>
      </w:r>
    </w:p>
    <w:p w14:paraId="5180AE8C"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64. 194. Раздел 1 подписывается ответственным исполнителем бухгалтерской службы или ответственным исполнителем, осуществляющим ведение управленческого учета, простой ЭП, главным бухгалтером субъекта учета (централизованной бухгалтерии) и руководителем субъекта учета – ЭЦП.</w:t>
      </w:r>
    </w:p>
    <w:p w14:paraId="50B50C6C"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 xml:space="preserve">Акт (ф. 0510477) с заполненным Разделом 1 направляется субъектом учета контрагенту для заполнения Раздела 2 «По данным контрагента» (далее – Раздел 2). </w:t>
      </w:r>
    </w:p>
    <w:p w14:paraId="4CAA63B9"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В Разделе 2 Акта (ф. 0510477) контрагентом отражается информация по данным контрагента в соответствии с правовым основанием (договором, контрактом, соглашением).</w:t>
      </w:r>
    </w:p>
    <w:p w14:paraId="3FC09DE7" w14:textId="77777777" w:rsidR="0000320D" w:rsidRPr="0000320D" w:rsidRDefault="0000320D" w:rsidP="0000320D">
      <w:pPr>
        <w:widowControl w:val="0"/>
        <w:autoSpaceDE w:val="0"/>
        <w:autoSpaceDN w:val="0"/>
        <w:adjustRightInd w:val="0"/>
        <w:spacing w:after="0" w:line="360" w:lineRule="auto"/>
        <w:ind w:firstLine="720"/>
        <w:jc w:val="both"/>
        <w:rPr>
          <w:rFonts w:eastAsia="Times New Roman"/>
          <w:color w:val="000000"/>
          <w:kern w:val="0"/>
          <w:lang w:eastAsia="ru-RU"/>
          <w14:ligatures w14:val="none"/>
        </w:rPr>
      </w:pPr>
      <w:r w:rsidRPr="0000320D">
        <w:rPr>
          <w:rFonts w:eastAsia="Times New Roman"/>
          <w:color w:val="000000"/>
          <w:kern w:val="0"/>
          <w:lang w:eastAsia="ru-RU"/>
          <w14:ligatures w14:val="none"/>
        </w:rPr>
        <w:t xml:space="preserve">Раздел 2 Акта (ф. 0510477) подписывается со стороны контрагента исполнителем – простой ЭП, руководителем (уполномоченным им лицом) и главным бухгалтером - ЭЦП (при наличии технической возможности), при отсутствии технической возможности – собственноручно на бумажном носителе с направлением электронного документа или электронного образа документа </w:t>
      </w:r>
      <w:r w:rsidRPr="0000320D">
        <w:rPr>
          <w:rFonts w:eastAsia="Times New Roman"/>
          <w:color w:val="000000"/>
          <w:kern w:val="0"/>
          <w:lang w:eastAsia="ru-RU"/>
          <w14:ligatures w14:val="none"/>
        </w:rPr>
        <w:br/>
        <w:t>(скан-копии) в субъект учета), со стороны субъекта учета – исполнителем бухгалтерской службы – простой ЭП, руководителем (уполномоченным им лицом) и главным бухгалтером – ЭЦП.</w:t>
      </w:r>
    </w:p>
    <w:p w14:paraId="670A8864" w14:textId="77777777" w:rsidR="009C2E5B" w:rsidRDefault="009C2E5B"/>
    <w:sectPr w:rsidR="009C2E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ED6"/>
    <w:rsid w:val="0000320D"/>
    <w:rsid w:val="001F3ED6"/>
    <w:rsid w:val="009C2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2BCC1-3370-4138-BDF7-D7652A10C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8"/>
        <w:szCs w:val="28"/>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1065</Words>
  <Characters>6077</Characters>
  <Application>Microsoft Office Word</Application>
  <DocSecurity>0</DocSecurity>
  <Lines>50</Lines>
  <Paragraphs>14</Paragraphs>
  <ScaleCrop>false</ScaleCrop>
  <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Фетисова</dc:creator>
  <cp:keywords/>
  <dc:description/>
  <cp:lastModifiedBy>Татьяна Фетисова</cp:lastModifiedBy>
  <cp:revision>2</cp:revision>
  <dcterms:created xsi:type="dcterms:W3CDTF">2023-09-14T19:28:00Z</dcterms:created>
  <dcterms:modified xsi:type="dcterms:W3CDTF">2023-09-14T19:28:00Z</dcterms:modified>
</cp:coreProperties>
</file>