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74"/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Проект изменений</w:t>
      </w:r>
    </w:p>
    <w:p w14:paraId="02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ПАСПОРТ</w:t>
      </w:r>
    </w:p>
    <w:p w14:paraId="03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 xml:space="preserve">Государственной программы </w:t>
      </w:r>
    </w:p>
    <w:p w14:paraId="04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bookmarkStart w:id="1" w:name="_GoBack"/>
      <w:bookmarkEnd w:id="1"/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«Содействие занятости населения Камчатского края»</w:t>
      </w:r>
    </w:p>
    <w:p w14:paraId="05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06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1. Основные положения</w:t>
      </w:r>
    </w:p>
    <w:p w14:paraId="07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140"/>
        <w:gridCol w:w="9286"/>
      </w:tblGrid>
      <w:tr>
        <w:trPr>
          <w:tblHeader/>
        </w:trPr>
        <w:tc>
          <w:tcPr>
            <w:tcW w:type="dxa" w:w="614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00000">
            <w:pPr>
              <w:pStyle w:val="Style_2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Куратор государственной программы</w:t>
            </w:r>
          </w:p>
        </w:tc>
        <w:tc>
          <w:tcPr>
            <w:tcW w:type="dxa" w:w="9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00000">
            <w:pPr>
              <w:pStyle w:val="Style_2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Сивак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Виктория Ивановна – Заместитель Председателя Правительства Камчатского края </w:t>
            </w:r>
          </w:p>
        </w:tc>
      </w:tr>
      <w:tr>
        <w:tc>
          <w:tcPr>
            <w:tcW w:type="dxa" w:w="614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0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type="dxa" w:w="928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0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Ниценко Наталья Борисовна – Министр труда и развития кадрового потенциала Камчатского края</w:t>
            </w:r>
          </w:p>
        </w:tc>
      </w:tr>
    </w:tbl>
    <w:p w14:paraId="0C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128"/>
        <w:gridCol w:w="9298"/>
      </w:tblGrid>
      <w:tr>
        <w:tc>
          <w:tcPr>
            <w:tcW w:type="dxa" w:w="612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00000">
            <w:pPr>
              <w:widowControl w:val="0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Период реализации государственной программы</w:t>
            </w:r>
          </w:p>
        </w:tc>
        <w:tc>
          <w:tcPr>
            <w:tcW w:type="dxa" w:w="92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Этап I: 2014–2023 годы</w:t>
            </w:r>
          </w:p>
          <w:p w14:paraId="0F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Этап II: 2024–2030 годы</w:t>
            </w:r>
          </w:p>
        </w:tc>
      </w:tr>
      <w:tr>
        <w:tc>
          <w:tcPr>
            <w:tcW w:type="dxa" w:w="6128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Цели государственной программы</w:t>
            </w:r>
          </w:p>
        </w:tc>
        <w:tc>
          <w:tcPr>
            <w:tcW w:type="dxa" w:w="929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Непревышение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к 2030 году значения уровня регистрируемой безработицы более 1 процента </w:t>
            </w:r>
          </w:p>
        </w:tc>
      </w:tr>
      <w:tr>
        <w:tc>
          <w:tcPr>
            <w:tcW w:type="dxa" w:w="6128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929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Улучшение условий и охраны труда в Камчатском крае</w:t>
            </w:r>
          </w:p>
        </w:tc>
      </w:tr>
      <w:tr>
        <w:tc>
          <w:tcPr>
            <w:tcW w:type="dxa" w:w="612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Направления (подпрограммы) государственной  программы</w:t>
            </w:r>
          </w:p>
        </w:tc>
        <w:tc>
          <w:tcPr>
            <w:tcW w:type="dxa" w:w="929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1 «Мероприятия в сфере занятости населения и социальная поддержка безработных граждан»</w:t>
            </w:r>
          </w:p>
          <w:p w14:paraId="15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2 «Целевое обучение граждан»</w:t>
            </w:r>
          </w:p>
          <w:p w14:paraId="16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3 «Безопасный труд в Камчатском крае»</w:t>
            </w:r>
          </w:p>
          <w:p w14:paraId="17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4 «Обеспечение реализации Программы»</w:t>
            </w:r>
          </w:p>
        </w:tc>
      </w:tr>
      <w:tr>
        <w:tc>
          <w:tcPr>
            <w:tcW w:type="dxa" w:w="612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type="dxa" w:w="929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00000">
            <w:pPr>
              <w:pStyle w:val="Style_3"/>
              <w:spacing w:before="74"/>
              <w:ind w:firstLine="0" w:left="170" w:right="57"/>
              <w:rPr>
                <w:rFonts w:ascii="Times New Roman" w:hAnsi="Times New Roman"/>
                <w:b w:val="0"/>
                <w:i w:val="0"/>
                <w:color w:val="000000"/>
                <w:sz w:val="24"/>
                <w:highlight w:val="yellow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5 254 328,28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тыс.руб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.</w:t>
            </w:r>
          </w:p>
        </w:tc>
      </w:tr>
      <w:tr>
        <w:trPr>
          <w:trHeight w:hRule="atLeast" w:val="603"/>
        </w:trPr>
        <w:tc>
          <w:tcPr>
            <w:tcW w:type="dxa" w:w="612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type="dxa" w:w="929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ациональн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цел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развития Российской Федерации «Сохранение населения, здоровье и благополучие людей»</w:t>
            </w:r>
          </w:p>
          <w:p w14:paraId="1C000000">
            <w:pPr>
              <w:pStyle w:val="Style_3"/>
              <w:spacing w:before="74"/>
              <w:ind w:firstLine="0" w:left="170" w:right="5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Российской Федерации «Содействие занятости населения»</w:t>
            </w:r>
          </w:p>
        </w:tc>
      </w:tr>
    </w:tbl>
    <w:p w14:paraId="1D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1E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2. Показатели государственной программы</w:t>
      </w:r>
    </w:p>
    <w:p w14:paraId="1F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61"/>
        <w:gridCol w:w="1991"/>
        <w:gridCol w:w="1134"/>
        <w:gridCol w:w="1134"/>
        <w:gridCol w:w="850"/>
        <w:gridCol w:w="567"/>
        <w:gridCol w:w="567"/>
        <w:gridCol w:w="426"/>
        <w:gridCol w:w="425"/>
        <w:gridCol w:w="425"/>
        <w:gridCol w:w="425"/>
        <w:gridCol w:w="426"/>
        <w:gridCol w:w="425"/>
        <w:gridCol w:w="425"/>
        <w:gridCol w:w="992"/>
        <w:gridCol w:w="1276"/>
        <w:gridCol w:w="1134"/>
        <w:gridCol w:w="1084"/>
        <w:gridCol w:w="1130"/>
      </w:tblGrid>
      <w:tr>
        <w:tc>
          <w:tcPr>
            <w:tcW w:type="dxa" w:w="5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№ п/п</w:t>
            </w:r>
          </w:p>
        </w:tc>
        <w:tc>
          <w:tcPr>
            <w:tcW w:type="dxa" w:w="1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Признак возрастания/убывания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Единица измерения (по ОКЕИ)</w:t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Базовое значение</w:t>
            </w:r>
          </w:p>
        </w:tc>
        <w:tc>
          <w:tcPr>
            <w:tcW w:type="dxa" w:w="2977"/>
            <w:gridSpan w:val="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Значение показателя по годам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Документ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достижение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показателями национальных целей</w:t>
            </w:r>
          </w:p>
        </w:tc>
        <w:tc>
          <w:tcPr>
            <w:tcW w:type="dxa" w:w="10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Признак реализуется муниципальным образованием</w:t>
            </w:r>
          </w:p>
        </w:tc>
        <w:tc>
          <w:tcPr>
            <w:tcW w:type="dxa" w:w="11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Информационная система (источник данных)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значение</w:t>
            </w:r>
          </w:p>
        </w:tc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год</w:t>
            </w:r>
          </w:p>
        </w:tc>
        <w:tc>
          <w:tcPr>
            <w:tcW w:type="dxa" w:w="42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2025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2026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2027</w:t>
            </w:r>
          </w:p>
        </w:tc>
        <w:tc>
          <w:tcPr>
            <w:tcW w:type="dxa" w:w="42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2028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2029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2030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</w:tbl>
    <w:p w14:paraId="35000000">
      <w:pPr>
        <w:pStyle w:val="Style_4"/>
        <w:rPr>
          <w:rFonts w:ascii="Times New Roman" w:hAnsi="Times New Roman"/>
          <w:b w:val="0"/>
          <w:i w:val="0"/>
          <w:color w:val="000000"/>
          <w:sz w:val="10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67"/>
        <w:gridCol w:w="1985"/>
        <w:gridCol w:w="1134"/>
        <w:gridCol w:w="992"/>
        <w:gridCol w:w="992"/>
        <w:gridCol w:w="567"/>
        <w:gridCol w:w="567"/>
        <w:gridCol w:w="426"/>
        <w:gridCol w:w="425"/>
        <w:gridCol w:w="425"/>
        <w:gridCol w:w="425"/>
        <w:gridCol w:w="426"/>
        <w:gridCol w:w="425"/>
        <w:gridCol w:w="425"/>
        <w:gridCol w:w="992"/>
        <w:gridCol w:w="1276"/>
        <w:gridCol w:w="1134"/>
        <w:gridCol w:w="1134"/>
        <w:gridCol w:w="1109"/>
      </w:tblGrid>
      <w:tr>
        <w:trPr>
          <w:trHeight w:hRule="atLeast" w:val="181"/>
          <w:tblHeader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18</w:t>
            </w:r>
          </w:p>
        </w:tc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859"/>
            <w:gridSpan w:val="1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1.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Непревышение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к 2030 году значения уровня регистрируемой безработицы более 1 процента </w:t>
            </w:r>
          </w:p>
        </w:tc>
      </w:tr>
      <w:t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4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</w:t>
            </w:r>
          </w:p>
        </w:tc>
        <w:tc>
          <w:tcPr>
            <w:tcW w:type="dxa" w:w="198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4C000000">
            <w:pPr>
              <w:pStyle w:val="Style_3"/>
              <w:spacing w:before="74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4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 РФ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4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Убывающий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4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Процент</w:t>
            </w:r>
          </w:p>
        </w:tc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1,1</w:t>
            </w:r>
          </w:p>
        </w:tc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42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1,2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1,2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1,1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1,1</w:t>
            </w:r>
          </w:p>
        </w:tc>
        <w:tc>
          <w:tcPr>
            <w:tcW w:type="dxa" w:w="42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1,1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Постановление Правительства РФ от 22.09.2021 № 1603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0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</w:t>
            </w:r>
          </w:p>
        </w:tc>
        <w:tc>
          <w:tcPr>
            <w:tcW w:type="dxa" w:w="14859"/>
            <w:gridSpan w:val="1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5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2. Улучшение условий и охраны труда в Камчатском крае </w:t>
            </w:r>
          </w:p>
        </w:tc>
      </w:tr>
      <w:t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</w:t>
            </w:r>
          </w:p>
        </w:tc>
        <w:tc>
          <w:tcPr>
            <w:tcW w:type="dxa" w:w="198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1000000">
            <w:pPr>
              <w:pStyle w:val="Style_3"/>
              <w:spacing w:before="74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Убывающий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Человек</w:t>
            </w:r>
          </w:p>
        </w:tc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132</w:t>
            </w:r>
          </w:p>
        </w:tc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2022</w:t>
            </w:r>
          </w:p>
        </w:tc>
        <w:tc>
          <w:tcPr>
            <w:tcW w:type="dxa" w:w="42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176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175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175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174</w:t>
            </w:r>
          </w:p>
        </w:tc>
        <w:tc>
          <w:tcPr>
            <w:tcW w:type="dxa" w:w="42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174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173</w:t>
            </w:r>
          </w:p>
        </w:tc>
        <w:tc>
          <w:tcPr>
            <w:tcW w:type="dxa" w:w="4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173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6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7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7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10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28"/>
              <w:bottom w:type="dxa" w:w="55"/>
              <w:right w:type="dxa" w:w="28"/>
            </w:tcMar>
          </w:tcPr>
          <w:p w14:paraId="7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</w:tbl>
    <w:p w14:paraId="73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74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3. Помесячный план достижения показателей государственной программы в 2024 году</w:t>
      </w:r>
    </w:p>
    <w:p w14:paraId="7500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Layout w:type="fixed"/>
        <w:tblCellMar>
          <w:left w:type="dxa" w:w="6"/>
          <w:right w:type="dxa" w:w="6"/>
        </w:tblCellMar>
      </w:tblPr>
      <w:tblGrid>
        <w:gridCol w:w="506"/>
        <w:gridCol w:w="4091"/>
        <w:gridCol w:w="1131"/>
        <w:gridCol w:w="1258"/>
        <w:gridCol w:w="660"/>
        <w:gridCol w:w="658"/>
        <w:gridCol w:w="660"/>
        <w:gridCol w:w="659"/>
        <w:gridCol w:w="662"/>
        <w:gridCol w:w="661"/>
        <w:gridCol w:w="661"/>
        <w:gridCol w:w="658"/>
        <w:gridCol w:w="660"/>
        <w:gridCol w:w="658"/>
        <w:gridCol w:w="660"/>
        <w:gridCol w:w="1171"/>
      </w:tblGrid>
      <w:tr>
        <w:trPr>
          <w:trHeight w:hRule="atLeast" w:val="349"/>
          <w:tblHeader/>
        </w:trPr>
        <w:tc>
          <w:tcPr>
            <w:tcW w:type="dxa" w:w="5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6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№ п/п</w:t>
            </w:r>
          </w:p>
        </w:tc>
        <w:tc>
          <w:tcPr>
            <w:tcW w:type="dxa" w:w="40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7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Наименование показателя </w:t>
            </w:r>
          </w:p>
        </w:tc>
        <w:tc>
          <w:tcPr>
            <w:tcW w:type="dxa" w:w="11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8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показателя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9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Единица измерения (по ОКЕИ)</w:t>
            </w:r>
          </w:p>
        </w:tc>
        <w:tc>
          <w:tcPr>
            <w:tcW w:type="dxa" w:w="725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A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Плановые значения по кварталам/месяцам</w:t>
            </w:r>
          </w:p>
        </w:tc>
        <w:tc>
          <w:tcPr>
            <w:tcW w:type="dxa" w:w="11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B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На конец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года</w:t>
            </w:r>
          </w:p>
        </w:tc>
      </w:tr>
      <w:tr>
        <w:trPr>
          <w:trHeight w:hRule="atLeast" w:val="661"/>
          <w:tblHeader/>
        </w:trPr>
        <w:tc>
          <w:tcPr>
            <w:tcW w:type="dxa" w:w="5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  <w:tc>
          <w:tcPr>
            <w:tcW w:type="dxa" w:w="40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C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янв.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D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фев.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E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март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7F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апр.</w:t>
            </w:r>
          </w:p>
        </w:tc>
        <w:tc>
          <w:tcPr>
            <w:tcW w:type="dxa" w:w="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0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май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1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июнь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2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июль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3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авг.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4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сен.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5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окт.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6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ноя.</w:t>
            </w:r>
          </w:p>
        </w:tc>
        <w:tc>
          <w:tcPr>
            <w:tcW w:type="dxa" w:w="1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</w:tr>
    </w:tbl>
    <w:p w14:paraId="8700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Layout w:type="fixed"/>
        <w:tblCellMar>
          <w:left w:type="dxa" w:w="6"/>
          <w:right w:type="dxa" w:w="6"/>
        </w:tblCellMar>
      </w:tblPr>
      <w:tblGrid>
        <w:gridCol w:w="506"/>
        <w:gridCol w:w="4091"/>
        <w:gridCol w:w="1131"/>
        <w:gridCol w:w="1258"/>
        <w:gridCol w:w="660"/>
        <w:gridCol w:w="658"/>
        <w:gridCol w:w="660"/>
        <w:gridCol w:w="659"/>
        <w:gridCol w:w="662"/>
        <w:gridCol w:w="661"/>
        <w:gridCol w:w="661"/>
        <w:gridCol w:w="658"/>
        <w:gridCol w:w="660"/>
        <w:gridCol w:w="658"/>
        <w:gridCol w:w="660"/>
        <w:gridCol w:w="1171"/>
      </w:tblGrid>
      <w:tr>
        <w:trPr>
          <w:trHeight w:hRule="atLeast" w:val="204"/>
        </w:trPr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8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4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9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A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B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C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D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E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8F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0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1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2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3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4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5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6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15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7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16</w:t>
            </w:r>
          </w:p>
        </w:tc>
      </w:tr>
      <w:tr>
        <w:trPr>
          <w:trHeight w:hRule="atLeast" w:val="386"/>
        </w:trPr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8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908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9000000">
            <w:pPr>
              <w:widowControl w:val="0"/>
              <w:spacing w:line="240" w:lineRule="atLeast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Непревышение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к 2030 году значения уровня регистрируемой безработицы более 1 процента</w:t>
            </w:r>
          </w:p>
        </w:tc>
      </w:tr>
      <w:tr>
        <w:trPr>
          <w:trHeight w:hRule="atLeast" w:val="386"/>
        </w:trPr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A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</w:t>
            </w:r>
          </w:p>
        </w:tc>
        <w:tc>
          <w:tcPr>
            <w:tcW w:type="dxa" w:w="4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B00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C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 РФ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D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Процент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E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9F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0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1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2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3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4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5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6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7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8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9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1,2</w:t>
            </w:r>
          </w:p>
        </w:tc>
      </w:tr>
      <w:tr>
        <w:trPr>
          <w:trHeight w:hRule="atLeast" w:val="386"/>
        </w:trPr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A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.</w:t>
            </w:r>
          </w:p>
        </w:tc>
        <w:tc>
          <w:tcPr>
            <w:tcW w:type="dxa" w:w="14908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B000000">
            <w:pPr>
              <w:widowControl w:val="0"/>
              <w:spacing w:line="240" w:lineRule="atLeast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Улучшение условий и охраны труда в Камчатском крае</w:t>
            </w:r>
          </w:p>
        </w:tc>
      </w:tr>
      <w:tr>
        <w:trPr>
          <w:trHeight w:hRule="atLeast" w:val="386"/>
        </w:trPr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C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.1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.</w:t>
            </w:r>
          </w:p>
        </w:tc>
        <w:tc>
          <w:tcPr>
            <w:tcW w:type="dxa" w:w="4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D000000">
            <w:pPr>
              <w:widowControl w:val="0"/>
              <w:spacing w:line="240" w:lineRule="atLeast"/>
              <w:ind w:firstLine="0" w:left="259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E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ГП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AF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Человек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0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1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2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3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4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5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6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7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8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BB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176</w:t>
            </w:r>
          </w:p>
        </w:tc>
      </w:tr>
    </w:tbl>
    <w:p w14:paraId="BC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D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E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BF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0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1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2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3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4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5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6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7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8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9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CA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4</w:t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. Структура государственной программы</w:t>
      </w:r>
    </w:p>
    <w:p w14:paraId="CB00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88"/>
        <w:gridCol w:w="4741"/>
        <w:gridCol w:w="6095"/>
        <w:gridCol w:w="3827"/>
      </w:tblGrid>
      <w:tr>
        <w:trPr>
          <w:tblHeader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C00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№ п/п</w:t>
            </w:r>
          </w:p>
        </w:tc>
        <w:tc>
          <w:tcPr>
            <w:tcW w:type="dxa" w:w="474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D00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Задачи структурного элемента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E00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F00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Связь с показателями</w:t>
            </w:r>
          </w:p>
        </w:tc>
      </w:tr>
    </w:tbl>
    <w:p w14:paraId="D000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88"/>
        <w:gridCol w:w="4741"/>
        <w:gridCol w:w="6095"/>
        <w:gridCol w:w="3827"/>
      </w:tblGrid>
      <w:tr>
        <w:trPr>
          <w:tblHeader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1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474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2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3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4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«Мероприятия в сфере занятости населения и социальная поддержка безработных граждан»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 «Содействие занятости»</w:t>
            </w:r>
          </w:p>
          <w:p w14:paraId="D9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Сивак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Виктория Ивановна – куратор)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труда и развития кадрового потенциала Камчатского края</w:t>
            </w:r>
          </w:p>
        </w:tc>
        <w:tc>
          <w:tcPr>
            <w:tcW w:type="dxa" w:w="992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Срок реализации</w:t>
            </w:r>
          </w:p>
          <w:p w14:paraId="DD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(2024–2025)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1.1.1.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привлечения работодателями необходимых трудовых ресурсов из других субъектов Российской Федерации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Оказывается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содействие работодателям, испытывающим потребность в привлечении трудовых ресурсов из других субъектов Российской Федерации. Реализация мероприятия позволяет гражданам трудоустраиваться по специальности за пределами региона постоянного проживания, а работодателям - привлекать работников необходимой квалификации. В рамках региональной программы повышения мобильности трудовых ресурсов из других субъектов Российской Федерации планируется привлечь в 2024 году 65 человек, в 2025 году - 65 человек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1.1.2.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Развитие инфраструктуры занятости и внедрение организационных и технологических инноваций с использованием цифровых и платформенных решений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Комплексная модернизация службы занятости позволит сократить среднее время трудоустройства граждан, обратившихся в центр занятости населения в целях поиска подходящей работы, сократить среднее время состояния на регистрационном учете в качестве безработного в центре занятости населения. Результат проекта в 2024 году: количество территориальных подразделений краевого центра занятости населения, в которых реализован региональный проект по повышению эффективности службы занятости (2024 год – 14 единиц)</w:t>
            </w:r>
          </w:p>
          <w:p w14:paraId="E5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A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труда и развития кадрового потенциала Камчатского края</w:t>
            </w:r>
          </w:p>
        </w:tc>
        <w:tc>
          <w:tcPr>
            <w:tcW w:type="dxa" w:w="992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B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1.2.1.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эффективному трудоустройству граждан, ищущих работу, и безработных граждан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Организованы мероприятия по трудоустройству граждан, повышению конкурентоспособности граждан на рынке труда, подготовке специалистов, востребованных на рынке труда Камчатского края, по увеличению числа граждан, организовавших индивидуальную предпринимательскую деятельность. Оказана помощь гражданам в самоопределении, в выборе профессии, направления деятельности, в получении навыков самостоятельного поиска работы. Сдерживается рост уровня регистрируемой безработицы, сохраняется профессиональный потенциал и конкурентоспособность рабочей силы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1.2.2.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государственных гарантий в части социальной поддержки безработных граждан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раждан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ам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, потерявши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работу и заработок,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признанным в установленном порядке безработными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, назначается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пособие по безработице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, что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способствует поддержанию их доходов в период поиска работы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1.2.3.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Эффективное осуществление деятельности краевого центра занятости населения по оказанию государственных услуг в сфере занятости населения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Гражданам и работодателям оказан полный спектр государственных услуг и мероприятий в сфере занятости населения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«Повышение мобильности трудовых ресурсов Камчатского края»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труда и развития кадрового потенциала Камчатского края</w:t>
            </w:r>
          </w:p>
        </w:tc>
        <w:tc>
          <w:tcPr>
            <w:tcW w:type="dxa" w:w="992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1.3.1.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Создание условий для привлечения работодателями необходимых трудовых ресурсов из других субъектов Российской Федерации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Оказывается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содействие работодателям, испытывающим потребность в привлечении трудовых ресурсов из других субъектов Российской Федерации. Реализация мероприятия позволяет гражданам трудоустраиваться по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специальности за пределами региона постоянного проживания, а работодателям – привлекать работников необходимой квалификации. В региональной программе ежегодно планируется участие не менее 15 работодателей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1.4.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«Сопровождение при содействии занятости инвалидов, включая инвалидов молодого возраста»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труда и развития кадрового потенциала Камчатского края</w:t>
            </w:r>
          </w:p>
        </w:tc>
        <w:tc>
          <w:tcPr>
            <w:tcW w:type="dxa" w:w="992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1.4.1.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Повышение конкурентоспособности на рынке труда незанятых инвалидов, включая инвалидов молодого возраста, и обеспечение их стабильной занятости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Созданы условия для осуществления инвалидами трудовой деятельности, ускорения их профессиональной адаптации на рабочем месте, повышения уровня трудоустройства инвалидов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</w:tr>
      <w:tr>
        <w:trPr>
          <w:trHeight w:hRule="atLeast" w:val="766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1.5.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«Дополнительные меры поддержки в виде профессионального обучения и дополнительного профессионального образования, предоставляемые отдельным категориям граждан в связи с проведением специальной военной операции»</w:t>
            </w:r>
          </w:p>
        </w:tc>
      </w:tr>
      <w:tr>
        <w:trPr>
          <w:trHeight w:hRule="atLeast" w:val="741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труда и развития кадрового потенциала Камчатского края</w:t>
            </w:r>
          </w:p>
        </w:tc>
        <w:tc>
          <w:tcPr>
            <w:tcW w:type="dxa" w:w="992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1.5.1.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Повышение конкурентоспособности на  рынке труда и создание необходимых условий для профессионального развития военнослужащих – участников специальной военной операции и членов их семей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Военнослужащие – участники специальной военной операции и члены их семей имеют возможность пройти профессиональное обучение, трудоустроиться или создать собственное дело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</w:tr>
      <w:tr>
        <w:trPr>
          <w:trHeight w:hRule="atLeast" w:val="350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 «Целевое обучение граждан»</w:t>
            </w:r>
          </w:p>
        </w:tc>
      </w:tr>
      <w:tr>
        <w:trPr>
          <w:trHeight w:hRule="atLeast" w:val="396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«Целевое обучение граждан»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труда и развития кадрового потенциала Камчатского края</w:t>
            </w:r>
          </w:p>
        </w:tc>
        <w:tc>
          <w:tcPr>
            <w:tcW w:type="dxa" w:w="992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rPr>
          <w:trHeight w:hRule="atLeast" w:val="1049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>
            <w:pPr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2.1.1.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Подготовка квалифицированных кадров для приоритетных отраслей экономики и социальной сферы Камчатского края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Снижение дефицита кадров в регионе, обеспечение работодателей Камчатского края кадрами необходимой квалификации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Уровень регистрируемой безработицы</w:t>
            </w:r>
          </w:p>
        </w:tc>
      </w:tr>
      <w:tr>
        <w:trPr>
          <w:trHeight w:hRule="atLeast" w:val="350"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</w:t>
            </w:r>
          </w:p>
        </w:tc>
        <w:tc>
          <w:tcPr>
            <w:tcW w:type="dxa" w:w="1466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 «Безопасный труд в Камчатском крае»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«Безопасный труд в Камчатском крае»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труда и развития кадрового потенциала Камчатского края</w:t>
            </w:r>
          </w:p>
        </w:tc>
        <w:tc>
          <w:tcPr>
            <w:tcW w:type="dxa" w:w="992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3.1.1.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Проведение общественно-просветительских мероприятий, направленных на популяризацию охраны труда и сохранения здоровья на работе, а также оказание информационной и консультационной помощи работникам и работодателям в реализации мер по охране труда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Снижение показателей производственного травматизма от предотвратимых причин и улучшение условий труда вследствие создания условий для внедрения в организациях региона культуры безопасного труда, обеспечение условий для роста количества и качества мероприятий, реализуемых работодателями региона по вопросам охраны труда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</w:tr>
      <w:tr>
        <w:trPr>
          <w:trHeight w:hRule="atLeast" w:val="350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3.1.2.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непрерывной подготовки руководителей и работников по охране труда, в том числе на основе современных технологий обучения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доступности подготовки руководителей и работников по вопросам охраны труда, повышение заинтересованности в непрерывной подготовке в области охраны труда в процессе трудовой деятельности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</w:tr>
      <w:tr>
        <w:trPr>
          <w:trHeight w:hRule="atLeast" w:val="324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3.1.3.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развитию социального партнерства в сфере труда в Камчатском крае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Обеспечение согласованности интересов работников и работодателей по вопросам регулирования трудовых отношений в сфере охраны труда, повышение значения общественного контроля, направленного на предупреждение и выявление нарушений в сфере охраны труда и их устранение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</w:tr>
      <w:tr>
        <w:trPr>
          <w:trHeight w:hRule="atLeast" w:val="1877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3.1.4.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Эффективное осуществление деятельности подведомственного учреждения в сфере охраны труда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widowControl w:val="0"/>
              <w:ind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в снижении показателей производственного травматизма путем выполнения работ, оказания услуг и осуществления мероприятий, предусмотренных трудовым законодательством в области охраны труда, предоставляемых подведомственным учреждением в сфере охраны труда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</w:tr>
      <w:tr>
        <w:trPr>
          <w:trHeight w:hRule="atLeast" w:val="343"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</w:t>
            </w:r>
          </w:p>
        </w:tc>
        <w:tc>
          <w:tcPr>
            <w:tcW w:type="dxa" w:w="1466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Направление (подпрограмма)  «Обеспечение реализации Программы»</w:t>
            </w:r>
          </w:p>
        </w:tc>
      </w:tr>
      <w:tr>
        <w:trPr>
          <w:trHeight w:hRule="atLeast" w:val="353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</w:t>
            </w:r>
          </w:p>
        </w:tc>
        <w:tc>
          <w:tcPr>
            <w:tcW w:type="dxa" w:w="14663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«Обеспечение реализации Программы»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Ответственный за реализацию – Министерство труда и развития кадрового потенциала Камчатского края</w:t>
            </w:r>
          </w:p>
        </w:tc>
        <w:tc>
          <w:tcPr>
            <w:tcW w:type="dxa" w:w="992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4.1.1.</w:t>
            </w:r>
          </w:p>
        </w:tc>
        <w:tc>
          <w:tcPr>
            <w:tcW w:type="dxa" w:w="474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Эффективное осуществление полномочий Министерства труда и развития кадрового потенциала Камчатского края</w:t>
            </w:r>
          </w:p>
        </w:tc>
        <w:tc>
          <w:tcPr>
            <w:tcW w:type="dxa" w:w="6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1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Эффективное исполнение государственных функций в сфере занятости населения и труда</w:t>
            </w:r>
          </w:p>
        </w:tc>
        <w:tc>
          <w:tcPr>
            <w:tcW w:type="dxa" w:w="38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</w:tbl>
    <w:p w14:paraId="40010000">
      <w:pPr>
        <w:spacing w:before="74"/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4101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5</w:t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. Финансовое обеспечение государственной программы</w:t>
      </w:r>
    </w:p>
    <w:p w14:paraId="4201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103"/>
        <w:gridCol w:w="1276"/>
        <w:gridCol w:w="1276"/>
        <w:gridCol w:w="1276"/>
        <w:gridCol w:w="1275"/>
        <w:gridCol w:w="1276"/>
        <w:gridCol w:w="1276"/>
        <w:gridCol w:w="1265"/>
        <w:gridCol w:w="1397"/>
      </w:tblGrid>
      <w:tr>
        <w:tc>
          <w:tcPr>
            <w:tcW w:type="dxa" w:w="51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1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type="dxa" w:w="1031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финансового обеспечения по годам реализации, тыс. руб.</w:t>
            </w:r>
          </w:p>
        </w:tc>
      </w:tr>
      <w:tr>
        <w:tc>
          <w:tcPr>
            <w:tcW w:type="dxa" w:w="51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2024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2025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2026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2027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2028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2029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2030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Всего</w:t>
            </w:r>
          </w:p>
        </w:tc>
      </w:tr>
    </w:tbl>
    <w:p w14:paraId="4D01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103"/>
        <w:gridCol w:w="1276"/>
        <w:gridCol w:w="1276"/>
        <w:gridCol w:w="1276"/>
        <w:gridCol w:w="1275"/>
        <w:gridCol w:w="1276"/>
        <w:gridCol w:w="1276"/>
        <w:gridCol w:w="1265"/>
        <w:gridCol w:w="1397"/>
      </w:tblGrid>
      <w:tr>
        <w:trPr>
          <w:tblHeader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7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(всего), в том числе: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978 410,39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859 614,30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883 398,84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587 964,67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617 362,90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648 231,05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679 346,14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5 254 328,28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0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461 711,60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322 030,00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321 828,00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0,00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1 105 569,60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9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Прочие безвозмездные поступления: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2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Краевой бюджет (всего), из них: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516 698,79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537 584,30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561 570,84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587 964,67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617 362,90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648 231,05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679 346,14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4 148 758,68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B01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401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бюджетам государственных внебюджетных фондов Российской Федерации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D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6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Местный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F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8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Объем налоговых расходов субъекта Российской Федерации 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справочно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1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Региональный проект «Содействие занятости» (всего), в том числе: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205 815,76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65 000,00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65 000,00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4 763,85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5 002,04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5 252,14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5 504,25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356 338,04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A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201 157,60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60 450,00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60 450,00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322 057,60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3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Прочие безвозмездные поступления: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C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Краевой бюджет (всего), из них: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4 658,16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4 550,00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4 550,00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4 763,85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5 002,04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5 252,14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5 504,25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34 280,44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501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E01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7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0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Местный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901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2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«Активная политика занятости населения и социальная поддержка безработных граждан» (всего), в том числе: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658 876,53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676 233,75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694 691,17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453 678,89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476 362,84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500 180,98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524 189,67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3 984 213,83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B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260 554,00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261 580,00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261 378,00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 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783 512,00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4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Прочие безвозмездные поступления: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D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Краевой бюджет (всего), из них: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398 322,53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414 653,75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433 313,17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453 678,89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476 362,84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500 180,98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524 189,67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3 200 701,83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602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F02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8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1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Местный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A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3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«Сопровождение при содействии занятости инвалидов, включая инвалидов молодого возраста» (всего), в том числе: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2 462,31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2 563,26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2 678,61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2 804,51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2 944,73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3 091,97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3 240,38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19 785,78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C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5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Прочие безвозмездные поступления: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E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Краевой бюджет (всего), из них: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2 462,31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2 563,26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2 678,61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2 804,51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2 944,73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3 091,97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3 240,38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19 785,78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702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002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9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2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Местный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B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4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«Дополнительные меры поддержки в виде профессионального обучения и дополнительного профессионального образования, предоставляемые отдельным категориям граждан в связи с проведением специальной военной операции» (всего), в том числе: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1 473,08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1 533,48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1 602,48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1 677,80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1 761,69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1 849,77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1 938,56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11 836,86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D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6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Прочие безвозмездные поступления: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F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Краевой бюджет (всего), из них: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1 473,08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1 533,48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1 602,48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1 677,80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1 761,69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1 849,77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1 938,56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11 836,86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802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межбюджетные трансферты местным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бюджетам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102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rPr>
          <w:trHeight w:hRule="atLeast" w:val="951"/>
        </w:trP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A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3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Местный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C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5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«Целевое обучение граждан» (всего), в том числе: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6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4 711,20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7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4 904,36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8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5 125,06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9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5 365,93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A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5 634,23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B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5 915,94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C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6 199,91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D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37 856,62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E02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7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Прочие безвозмездные поступления: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0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Краевой бюджет (всего), из них: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4 711,20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4 904,36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5 125,06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5 365,93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5 634,23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5 915,94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6 199,91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37 856,62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903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203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B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4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Местный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D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6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Безопасный труд в Камчатском крае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 (всего), в том числе: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2 468,50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2 569,71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2 685,35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2 811,56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2 952,13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3 099,74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3 248,53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19 835,51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F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8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Прочие безвозмездные поступления: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1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Краевой бюджет (всего), из них: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2 468,50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2 569,71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2 685,35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2 811,56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2 952,13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3 099,74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3 248,53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19 835,51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A03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303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C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5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Местный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E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7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Комплекс процессных мероприятий «Обеспечение реализации Программы» (всего), в том числе: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102 603,01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106 809,73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111 616,17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116 862,13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122 705,24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128 840,50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135 024,84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824 461,63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0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Федеральный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9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Прочие безвозмездные поступления: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2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Краевой бюджет (всего), из них: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102 603,01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106 809,73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111 616,17</w:t>
            </w: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116 862,13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122 705,24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128 840,50</w:t>
            </w: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135 024,84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824 461,63</w:t>
            </w: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B03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межбюджетные трансферты местным бюджетам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4030000">
            <w:pPr>
              <w:pStyle w:val="Style_3"/>
              <w:ind w:firstLine="0" w:left="567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межбюджетные трансферты бюджетам государственных внебюджетных фондов Российской Федерации 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D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6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Местный бюджет (всего):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  <w:tr>
        <w:tc>
          <w:tcPr>
            <w:tcW w:type="dxa" w:w="510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F030000">
            <w:pPr>
              <w:pStyle w:val="Style_3"/>
              <w:ind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Внебюджетные источники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26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</w:tbl>
    <w:p w14:paraId="E803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E903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EA03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br w:type="page"/>
      </w:r>
    </w:p>
    <w:p w14:paraId="EB030000">
      <w:pPr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Приложение № 1</w:t>
      </w:r>
    </w:p>
    <w:p w14:paraId="EC030000">
      <w:pPr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к государственной программе Камчатского края</w:t>
      </w:r>
    </w:p>
    <w:p w14:paraId="ED030000">
      <w:pPr>
        <w:ind/>
        <w:jc w:val="right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«</w:t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Содействие занятости населения Камчатского края</w:t>
      </w: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»</w:t>
      </w:r>
    </w:p>
    <w:p w14:paraId="EE03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p w14:paraId="EF03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  <w:r>
        <w:rPr>
          <w:rFonts w:ascii="Times New Roman" w:hAnsi="Times New Roman"/>
          <w:b w:val="0"/>
          <w:i w:val="0"/>
          <w:color w:val="000000"/>
          <w:sz w:val="24"/>
          <w:u w:val="none"/>
        </w:rPr>
        <w:t>1. Реестр документов, входящих в состав государственной программы</w:t>
      </w: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069"/>
        <w:gridCol w:w="2343"/>
        <w:gridCol w:w="2342"/>
        <w:gridCol w:w="2343"/>
        <w:gridCol w:w="2343"/>
        <w:gridCol w:w="2343"/>
        <w:gridCol w:w="2343"/>
      </w:tblGrid>
      <w:tr>
        <w:trPr>
          <w:tblHeader/>
        </w:trPr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0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№ п/п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1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Тип документа</w:t>
            </w:r>
          </w:p>
        </w:tc>
        <w:tc>
          <w:tcPr>
            <w:tcW w:type="dxa" w:w="234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2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Вид документа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3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Наименование документа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4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Реквизиты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5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Разработчик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6030000">
            <w:pPr>
              <w:pStyle w:val="Style_2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Гиперссылка на текст документа</w:t>
            </w:r>
          </w:p>
        </w:tc>
      </w:tr>
    </w:tbl>
    <w:p w14:paraId="F7030000">
      <w:pPr>
        <w:pStyle w:val="Style_4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069"/>
        <w:gridCol w:w="2343"/>
        <w:gridCol w:w="2342"/>
        <w:gridCol w:w="2343"/>
        <w:gridCol w:w="2343"/>
        <w:gridCol w:w="2343"/>
        <w:gridCol w:w="2343"/>
      </w:tblGrid>
      <w:tr>
        <w:trPr>
          <w:tblHeader/>
        </w:trPr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8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9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type="dxa" w:w="234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A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B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C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D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E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7</w:t>
            </w:r>
          </w:p>
        </w:tc>
      </w:tr>
      <w:tr>
        <w:tc>
          <w:tcPr>
            <w:tcW w:type="dxa" w:w="15126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F03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Государственная программа 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Содействие занятости населения Камчатского края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»</w:t>
            </w:r>
          </w:p>
        </w:tc>
      </w:tr>
      <w:tr>
        <w:tc>
          <w:tcPr>
            <w:tcW w:type="dxa" w:w="106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4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1.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4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Стратегические приоритеты государственной программы</w:t>
            </w:r>
          </w:p>
        </w:tc>
        <w:tc>
          <w:tcPr>
            <w:tcW w:type="dxa" w:w="234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4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постановление Правительства Камчатского края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4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«Об утверждении государственной программы Камчатского края «Содействие занятости населения Камчатского края»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4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№ 490-П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от 11.11.2013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4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40000">
            <w:pPr>
              <w:pStyle w:val="Style_3"/>
              <w:rPr>
                <w:rFonts w:ascii="Times New Roman" w:hAnsi="Times New Roman"/>
                <w:b w:val="0"/>
                <w:i w:val="0"/>
                <w:color w:val="000000"/>
                <w:sz w:val="24"/>
                <w:u w:val="none"/>
              </w:rPr>
            </w:pPr>
          </w:p>
        </w:tc>
      </w:tr>
    </w:tbl>
    <w:p w14:paraId="07040000">
      <w:pPr>
        <w:ind/>
        <w:jc w:val="center"/>
        <w:rPr>
          <w:rFonts w:ascii="Times New Roman" w:hAnsi="Times New Roman"/>
          <w:b w:val="0"/>
          <w:i w:val="0"/>
          <w:color w:val="000000"/>
          <w:sz w:val="24"/>
          <w:u w:val="none"/>
        </w:rPr>
      </w:pPr>
    </w:p>
    <w:sectPr>
      <w:pgSz w:h="11906" w:orient="landscape" w:w="16838"/>
      <w:pgMar w:bottom="567" w:footer="0" w:gutter="0" w:header="0" w:left="850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empora LGC Uni" w:hAnsi="Tempora LGC Uni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Знак примечания1"/>
    <w:basedOn w:val="Style_10"/>
    <w:link w:val="Style_9_ch"/>
    <w:rPr>
      <w:sz w:val="16"/>
    </w:rPr>
  </w:style>
  <w:style w:styleId="Style_9_ch" w:type="character">
    <w:name w:val="Знак примечания1"/>
    <w:basedOn w:val="Style_10_ch"/>
    <w:link w:val="Style_9"/>
    <w:rPr>
      <w:sz w:val="16"/>
    </w:rPr>
  </w:style>
  <w:style w:styleId="Style_11" w:type="paragraph">
    <w:name w:val="toc 7"/>
    <w:next w:val="Style_5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List Paragraph"/>
    <w:basedOn w:val="Style_5"/>
    <w:link w:val="Style_12_ch"/>
    <w:pPr>
      <w:spacing w:before="75"/>
      <w:ind w:hanging="202" w:left="603"/>
    </w:pPr>
    <w:rPr>
      <w:rFonts w:ascii="Times New Roman" w:hAnsi="Times New Roman"/>
    </w:rPr>
  </w:style>
  <w:style w:styleId="Style_12_ch" w:type="character">
    <w:name w:val="List Paragraph"/>
    <w:basedOn w:val="Style_5_ch"/>
    <w:link w:val="Style_12"/>
    <w:rPr>
      <w:rFonts w:ascii="Times New Roman" w:hAnsi="Times New Roman"/>
    </w:rPr>
  </w:style>
  <w:style w:styleId="Style_13" w:type="paragraph">
    <w:name w:val="Table Paragraph"/>
    <w:basedOn w:val="Style_5"/>
    <w:link w:val="Style_13_ch"/>
    <w:rPr>
      <w:rFonts w:ascii="Times New Roman" w:hAnsi="Times New Roman"/>
    </w:rPr>
  </w:style>
  <w:style w:styleId="Style_13_ch" w:type="character">
    <w:name w:val="Table Paragraph"/>
    <w:basedOn w:val="Style_5_ch"/>
    <w:link w:val="Style_13"/>
    <w:rPr>
      <w:rFonts w:ascii="Times New Roman" w:hAnsi="Times New Roman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5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4" w:type="paragraph">
    <w:name w:val="Body Text"/>
    <w:basedOn w:val="Style_5"/>
    <w:link w:val="Style_4_ch"/>
    <w:pPr>
      <w:spacing w:line="271" w:lineRule="atLeast"/>
      <w:ind/>
    </w:pPr>
  </w:style>
  <w:style w:styleId="Style_4_ch" w:type="character">
    <w:name w:val="Body Text"/>
    <w:basedOn w:val="Style_5_ch"/>
    <w:link w:val="Style_4"/>
  </w:style>
  <w:style w:styleId="Style_19" w:type="paragraph">
    <w:name w:val="Гиперссылка1"/>
    <w:link w:val="Style_19_ch"/>
    <w:rPr>
      <w:color w:val="000080"/>
      <w:u w:val="single"/>
    </w:rPr>
  </w:style>
  <w:style w:styleId="Style_19_ch" w:type="character">
    <w:name w:val="Гиперссылка1"/>
    <w:link w:val="Style_19"/>
    <w:rPr>
      <w:color w:val="000080"/>
      <w:u w:val="single"/>
    </w:rPr>
  </w:style>
  <w:style w:styleId="Style_20" w:type="paragraph">
    <w:name w:val="List"/>
    <w:basedOn w:val="Style_4"/>
    <w:link w:val="Style_20_ch"/>
  </w:style>
  <w:style w:styleId="Style_20_ch" w:type="character">
    <w:name w:val="List"/>
    <w:basedOn w:val="Style_4_ch"/>
    <w:link w:val="Style_20"/>
  </w:style>
  <w:style w:styleId="Style_21" w:type="paragraph">
    <w:name w:val="toc 3"/>
    <w:next w:val="Style_5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annotation text"/>
    <w:basedOn w:val="Style_5"/>
    <w:link w:val="Style_22_ch"/>
    <w:rPr>
      <w:sz w:val="20"/>
    </w:rPr>
  </w:style>
  <w:style w:styleId="Style_22_ch" w:type="character">
    <w:name w:val="annotation text"/>
    <w:basedOn w:val="Style_5_ch"/>
    <w:link w:val="Style_22"/>
    <w:rPr>
      <w:sz w:val="20"/>
    </w:rPr>
  </w:style>
  <w:style w:styleId="Style_23" w:type="paragraph">
    <w:name w:val="index heading"/>
    <w:basedOn w:val="Style_5"/>
    <w:link w:val="Style_23_ch"/>
  </w:style>
  <w:style w:styleId="Style_23_ch" w:type="character">
    <w:name w:val="index heading"/>
    <w:basedOn w:val="Style_5_ch"/>
    <w:link w:val="Style_23"/>
  </w:style>
  <w:style w:styleId="Style_24" w:type="paragraph">
    <w:name w:val="Balloon Text"/>
    <w:basedOn w:val="Style_5"/>
    <w:link w:val="Style_24_ch"/>
    <w:rPr>
      <w:rFonts w:ascii="Segoe UI" w:hAnsi="Segoe UI"/>
      <w:sz w:val="18"/>
    </w:rPr>
  </w:style>
  <w:style w:styleId="Style_24_ch" w:type="character">
    <w:name w:val="Balloon Text"/>
    <w:basedOn w:val="Style_5_ch"/>
    <w:link w:val="Style_24"/>
    <w:rPr>
      <w:rFonts w:ascii="Segoe UI" w:hAnsi="Segoe UI"/>
      <w:sz w:val="18"/>
    </w:rPr>
  </w:style>
  <w:style w:styleId="Style_25" w:type="paragraph">
    <w:name w:val="heading 5"/>
    <w:next w:val="Style_5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heading 1"/>
    <w:next w:val="Style_5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5"/>
    <w:link w:val="Style_30_ch"/>
    <w:uiPriority w:val="39"/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2" w:type="paragraph">
    <w:name w:val="Заголовок таблицы"/>
    <w:basedOn w:val="Style_3"/>
    <w:link w:val="Style_2_ch"/>
    <w:pPr>
      <w:ind/>
      <w:jc w:val="center"/>
    </w:pPr>
    <w:rPr>
      <w:b w:val="1"/>
    </w:rPr>
  </w:style>
  <w:style w:styleId="Style_2_ch" w:type="character">
    <w:name w:val="Заголовок таблицы"/>
    <w:basedOn w:val="Style_3_ch"/>
    <w:link w:val="Style_2"/>
    <w:rPr>
      <w:b w:val="1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32" w:type="paragraph">
    <w:name w:val="toc 9"/>
    <w:next w:val="Style_5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Обычный1"/>
    <w:link w:val="Style_33_ch"/>
  </w:style>
  <w:style w:styleId="Style_33_ch" w:type="character">
    <w:name w:val="Обычный1"/>
    <w:link w:val="Style_33"/>
  </w:style>
  <w:style w:styleId="Style_34" w:type="paragraph">
    <w:name w:val="Обычный1"/>
    <w:link w:val="Style_34_ch"/>
  </w:style>
  <w:style w:styleId="Style_34_ch" w:type="character">
    <w:name w:val="Обычный1"/>
    <w:link w:val="Style_34"/>
  </w:style>
  <w:style w:styleId="Style_35" w:type="paragraph">
    <w:name w:val="toc 8"/>
    <w:next w:val="Style_5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caption"/>
    <w:basedOn w:val="Style_5"/>
    <w:link w:val="Style_36_ch"/>
    <w:pPr>
      <w:spacing w:after="120" w:before="120"/>
      <w:ind/>
    </w:pPr>
    <w:rPr>
      <w:i w:val="1"/>
    </w:rPr>
  </w:style>
  <w:style w:styleId="Style_36_ch" w:type="character">
    <w:name w:val="caption"/>
    <w:basedOn w:val="Style_5_ch"/>
    <w:link w:val="Style_36"/>
    <w:rPr>
      <w:i w:val="1"/>
    </w:rPr>
  </w:style>
  <w:style w:styleId="Style_37" w:type="paragraph">
    <w:name w:val="Обычный1"/>
    <w:link w:val="Style_37_ch"/>
  </w:style>
  <w:style w:styleId="Style_37_ch" w:type="character">
    <w:name w:val="Обычный1"/>
    <w:link w:val="Style_37"/>
  </w:style>
  <w:style w:styleId="Style_38" w:type="paragraph">
    <w:name w:val="toc 5"/>
    <w:next w:val="Style_5"/>
    <w:link w:val="Style_38_ch"/>
    <w:uiPriority w:val="39"/>
    <w:pPr>
      <w:ind w:firstLine="0" w:left="800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Subtitle"/>
    <w:next w:val="Style_5"/>
    <w:link w:val="Style_39_ch"/>
    <w:uiPriority w:val="11"/>
    <w:qFormat/>
    <w:pPr>
      <w:ind/>
      <w:jc w:val="both"/>
    </w:pPr>
    <w:rPr>
      <w:rFonts w:ascii="XO Thames" w:hAnsi="XO Thames"/>
      <w:i w:val="1"/>
    </w:rPr>
  </w:style>
  <w:style w:styleId="Style_39_ch" w:type="character">
    <w:name w:val="Subtitle"/>
    <w:link w:val="Style_39"/>
    <w:rPr>
      <w:rFonts w:ascii="XO Thames" w:hAnsi="XO Thames"/>
      <w:i w:val="1"/>
    </w:rPr>
  </w:style>
  <w:style w:styleId="Style_3" w:type="paragraph">
    <w:name w:val="Содержимое таблицы"/>
    <w:basedOn w:val="Style_5"/>
    <w:link w:val="Style_3_ch"/>
    <w:pPr>
      <w:widowControl w:val="0"/>
      <w:ind/>
    </w:pPr>
  </w:style>
  <w:style w:styleId="Style_3_ch" w:type="character">
    <w:name w:val="Содержимое таблицы"/>
    <w:basedOn w:val="Style_5_ch"/>
    <w:link w:val="Style_3"/>
  </w:style>
  <w:style w:styleId="Style_40" w:type="paragraph">
    <w:name w:val="Title"/>
    <w:next w:val="Style_4"/>
    <w:link w:val="Style_4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0_ch" w:type="character">
    <w:name w:val="Title"/>
    <w:link w:val="Style_40"/>
    <w:rPr>
      <w:rFonts w:ascii="XO Thames" w:hAnsi="XO Thames"/>
      <w:b w:val="1"/>
      <w:caps w:val="1"/>
      <w:sz w:val="40"/>
    </w:rPr>
  </w:style>
  <w:style w:styleId="Style_41" w:type="paragraph">
    <w:name w:val="heading 4"/>
    <w:next w:val="Style_5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</w:rPr>
  </w:style>
  <w:style w:styleId="Style_41_ch" w:type="character">
    <w:name w:val="heading 4"/>
    <w:link w:val="Style_41"/>
    <w:rPr>
      <w:rFonts w:ascii="XO Thames" w:hAnsi="XO Thames"/>
      <w:b w:val="1"/>
    </w:rPr>
  </w:style>
  <w:style w:styleId="Style_42" w:type="paragraph">
    <w:name w:val="heading 2"/>
    <w:next w:val="Style_5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43" w:type="paragraph">
    <w:name w:val="Заголовок1"/>
    <w:basedOn w:val="Style_34"/>
    <w:link w:val="Style_43_ch"/>
    <w:rPr>
      <w:rFonts w:ascii="Open Sans" w:hAnsi="Open Sans"/>
      <w:sz w:val="28"/>
    </w:rPr>
  </w:style>
  <w:style w:styleId="Style_43_ch" w:type="character">
    <w:name w:val="Заголовок1"/>
    <w:basedOn w:val="Style_34_ch"/>
    <w:link w:val="Style_43"/>
    <w:rPr>
      <w:rFonts w:ascii="Open Sans" w:hAnsi="Open Sans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2023-10-16T03:00:43Z</dcterms:modified>
</cp:coreProperties>
</file>