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5EE" w:rsidRDefault="00A8652A" w:rsidP="00BB23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3BA5">
        <w:rPr>
          <w:rFonts w:ascii="Times New Roman" w:hAnsi="Times New Roman" w:cs="Times New Roman"/>
          <w:sz w:val="24"/>
          <w:szCs w:val="24"/>
        </w:rPr>
        <w:t>4</w:t>
      </w:r>
      <w:r w:rsidR="004C106D">
        <w:rPr>
          <w:rFonts w:ascii="Times New Roman" w:hAnsi="Times New Roman" w:cs="Times New Roman"/>
          <w:sz w:val="24"/>
          <w:szCs w:val="24"/>
        </w:rPr>
        <w:t>2</w:t>
      </w:r>
      <w:r w:rsidR="00C73BE0">
        <w:rPr>
          <w:rFonts w:ascii="Times New Roman" w:hAnsi="Times New Roman" w:cs="Times New Roman"/>
          <w:sz w:val="24"/>
          <w:szCs w:val="24"/>
        </w:rPr>
        <w:t>.2.</w:t>
      </w:r>
      <w:r w:rsidR="004C106D">
        <w:rPr>
          <w:rFonts w:ascii="Times New Roman" w:hAnsi="Times New Roman" w:cs="Times New Roman"/>
          <w:sz w:val="24"/>
          <w:szCs w:val="24"/>
        </w:rPr>
        <w:t>20</w:t>
      </w:r>
      <w:r w:rsidR="00B005EE">
        <w:rPr>
          <w:rFonts w:ascii="Times New Roman" w:hAnsi="Times New Roman" w:cs="Times New Roman"/>
          <w:sz w:val="24"/>
          <w:szCs w:val="24"/>
        </w:rPr>
        <w:t>.</w:t>
      </w:r>
      <w:r w:rsidRPr="00273BA5">
        <w:rPr>
          <w:rFonts w:ascii="Times New Roman" w:hAnsi="Times New Roman" w:cs="Times New Roman"/>
          <w:sz w:val="24"/>
          <w:szCs w:val="24"/>
        </w:rPr>
        <w:t xml:space="preserve"> </w:t>
      </w:r>
      <w:r w:rsidR="00CF5CA1" w:rsidRPr="00273BA5">
        <w:rPr>
          <w:rFonts w:ascii="Times New Roman" w:hAnsi="Times New Roman" w:cs="Times New Roman"/>
          <w:sz w:val="24"/>
          <w:szCs w:val="24"/>
        </w:rPr>
        <w:t xml:space="preserve">МЕТОДИКА </w:t>
      </w:r>
    </w:p>
    <w:p w:rsidR="00CF5CA1" w:rsidRPr="00273BA5" w:rsidRDefault="00CF5CA1" w:rsidP="00BB23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3BA5">
        <w:rPr>
          <w:rFonts w:ascii="Times New Roman" w:hAnsi="Times New Roman" w:cs="Times New Roman"/>
          <w:sz w:val="24"/>
          <w:szCs w:val="24"/>
        </w:rPr>
        <w:t>РАСПРЕДЕЛЕНИЯ СУБВЕНЦИЙ МЕСТНЫМ БЮДЖЕТАМ</w:t>
      </w:r>
      <w:r w:rsidR="00E97F45">
        <w:rPr>
          <w:rFonts w:ascii="Times New Roman" w:hAnsi="Times New Roman" w:cs="Times New Roman"/>
          <w:sz w:val="24"/>
          <w:szCs w:val="24"/>
        </w:rPr>
        <w:t>,</w:t>
      </w:r>
      <w:r w:rsidRPr="00273BA5">
        <w:rPr>
          <w:rFonts w:ascii="Times New Roman" w:hAnsi="Times New Roman" w:cs="Times New Roman"/>
          <w:sz w:val="24"/>
          <w:szCs w:val="24"/>
        </w:rPr>
        <w:t xml:space="preserve"> ПРЕДОСТАВЛЯЕМЫХ ЗА СЧЕТ СУБВЕНЦИЙ </w:t>
      </w:r>
      <w:r w:rsidR="00E97F45">
        <w:rPr>
          <w:rFonts w:ascii="Times New Roman" w:hAnsi="Times New Roman" w:cs="Times New Roman"/>
          <w:sz w:val="24"/>
          <w:szCs w:val="24"/>
        </w:rPr>
        <w:t>КРАЕВОМУ БЮДЖЕТУ</w:t>
      </w:r>
      <w:r w:rsidRPr="00273BA5">
        <w:rPr>
          <w:rFonts w:ascii="Times New Roman" w:hAnsi="Times New Roman" w:cs="Times New Roman"/>
          <w:sz w:val="24"/>
          <w:szCs w:val="24"/>
        </w:rPr>
        <w:t xml:space="preserve"> ИЗ ФЕДЕРАЛЬНОГО БЮДЖЕТА НА ОСУЩЕСТВЛЕНИЕ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</w:t>
      </w:r>
      <w:r w:rsidR="00E97F45">
        <w:rPr>
          <w:rFonts w:ascii="Times New Roman" w:hAnsi="Times New Roman" w:cs="Times New Roman"/>
          <w:sz w:val="24"/>
          <w:szCs w:val="24"/>
        </w:rPr>
        <w:t>КАМЧАТСКОМ КРАЕ</w:t>
      </w:r>
    </w:p>
    <w:p w:rsidR="004C106D" w:rsidRDefault="004C106D" w:rsidP="004C106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0"/>
      <w:bookmarkStart w:id="1" w:name="_GoBack"/>
      <w:bookmarkEnd w:id="0"/>
      <w:bookmarkEnd w:id="1"/>
    </w:p>
    <w:p w:rsidR="00E97F45" w:rsidRDefault="00E97F45" w:rsidP="00BB23BF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Распределение субвенций местным бюджетам, предоставляемых за счет субвенций краевому бюджету из федерального бюджета для осуществления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Камчатском крае (далее - государственные полномочия по составлению (изменению) списков кандидатов в присяжные заседатели), осуществляется по формуле: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099945" cy="281305"/>
            <wp:effectExtent l="0" t="0" r="0" b="444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945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22275" cy="281305"/>
            <wp:effectExtent l="0" t="0" r="0" b="444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расчетный размер субвенции бюджету i-того муниципального образования в Камчатском крае для осуществления государственных полномочий по составлению (изменению) списков кандидатов в присяжные заседатели;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22275" cy="281305"/>
            <wp:effectExtent l="0" t="0" r="0" b="444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_ размер канцелярских расходов i-того муниципального образования в Камчатском крае на очередной финансовый год, определяемый по формуле: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070100" cy="281305"/>
            <wp:effectExtent l="0" t="0" r="6350" b="444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412115" cy="231140"/>
            <wp:effectExtent l="0" t="0" r="698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норматив финансовых затрат на канцелярские расходы на одного кандидата, предусмотренный </w:t>
      </w:r>
      <w:r w:rsidR="006E0ADB">
        <w:rPr>
          <w:rFonts w:ascii="Times New Roman" w:hAnsi="Times New Roman" w:cs="Times New Roman"/>
          <w:sz w:val="24"/>
          <w:szCs w:val="24"/>
        </w:rPr>
        <w:t xml:space="preserve">Методикой </w:t>
      </w:r>
      <w:r>
        <w:rPr>
          <w:rFonts w:ascii="Times New Roman" w:hAnsi="Times New Roman" w:cs="Times New Roman"/>
          <w:sz w:val="24"/>
          <w:szCs w:val="24"/>
        </w:rPr>
        <w:t>распределения субвенций из федерального бюджета бюджетам субъектов Российской Федерации для бюджетов муниципальных районов, городских округов, внутригородских муниципальных образований городов федерального значения, городских и сельских поселений на реализацию Федерального</w:t>
      </w:r>
      <w:r w:rsidR="006E0ADB">
        <w:t xml:space="preserve"> </w:t>
      </w:r>
      <w:r w:rsidR="006E0ADB" w:rsidRPr="006E0ADB">
        <w:rPr>
          <w:rFonts w:ascii="Times New Roman" w:hAnsi="Times New Roman" w:cs="Times New Roman"/>
        </w:rPr>
        <w:t>закона</w:t>
      </w:r>
      <w:r w:rsidR="006E0ADB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20.08.2004 </w:t>
      </w:r>
      <w:r w:rsidR="006E0AD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113-ФЗ «О присяжных заседателях федеральных судов общей юрисдикции в Российской Федерации», утвержденной Распоряжением Правительства Российской Федерации от 21.09.2006 № 1331-р;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31140" cy="260985"/>
            <wp:effectExtent l="0" t="0" r="0" b="571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расчетное число граждан, подлежащих включению в списки кандидатов в присяжные заседатели федеральных судов общей юрисдикции (далее - списки кандидатов в присяжные заседатели) в i-том муниципальном образовании в Камчатском крае по заявкам председателей судов в Камчатском крае либо утративших право быть присяжными заседателями в i-том муниципальном образовании в Камчатском крае по данным </w:t>
      </w:r>
      <w:r w:rsidR="00D13093" w:rsidRPr="00D13093">
        <w:rPr>
          <w:rFonts w:ascii="Times New Roman" w:hAnsi="Times New Roman" w:cs="Times New Roman"/>
          <w:sz w:val="24"/>
          <w:szCs w:val="24"/>
        </w:rPr>
        <w:t>Агентства по обеспечению деятельности мировых судей Камчатского края</w:t>
      </w:r>
      <w:r>
        <w:rPr>
          <w:rFonts w:ascii="Times New Roman" w:hAnsi="Times New Roman" w:cs="Times New Roman"/>
          <w:sz w:val="24"/>
          <w:szCs w:val="24"/>
        </w:rPr>
        <w:t xml:space="preserve"> (в случае изменения списков кандидатов в присяжные заседатели);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321310" cy="231140"/>
            <wp:effectExtent l="0" t="0" r="254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индекс роста потребительских цен на очередной финансовый год с учетом уровня инфляции в соответствии с федеральным законом о федеральном бюджете на очередной финансовый год и на плановый период;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lastRenderedPageBreak/>
        <w:drawing>
          <wp:inline distT="0" distB="0" distL="0" distR="0">
            <wp:extent cx="401955" cy="281305"/>
            <wp:effectExtent l="0" t="0" r="0" b="444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размер почтовых расходов i-того муниципального образования в Камчатском крае на очередной финансовый год, определяемый по формуле: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070100" cy="281305"/>
            <wp:effectExtent l="0" t="0" r="6350" b="444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412115" cy="231140"/>
            <wp:effectExtent l="0" t="0" r="698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норматив финансовых затрат на почтовые расходы на одного кандидата, предусмотренный </w:t>
      </w:r>
      <w:r w:rsidR="006E0ADB">
        <w:rPr>
          <w:rFonts w:ascii="Times New Roman" w:hAnsi="Times New Roman" w:cs="Times New Roman"/>
          <w:sz w:val="24"/>
          <w:szCs w:val="24"/>
        </w:rPr>
        <w:t xml:space="preserve">Методикой </w:t>
      </w:r>
      <w:r>
        <w:rPr>
          <w:rFonts w:ascii="Times New Roman" w:hAnsi="Times New Roman" w:cs="Times New Roman"/>
          <w:sz w:val="24"/>
          <w:szCs w:val="24"/>
        </w:rPr>
        <w:t xml:space="preserve">распределения субвенций из федерального бюджета бюджетам субъектов Российской Федерации для бюджетов муниципальных районов, городских округов, внутригородских муниципальных образований городов федерального значения, городских и сельских поселений на реализацию Федерального </w:t>
      </w:r>
      <w:r w:rsidR="006E0ADB">
        <w:rPr>
          <w:rFonts w:ascii="Times New Roman" w:hAnsi="Times New Roman" w:cs="Times New Roman"/>
          <w:sz w:val="24"/>
          <w:szCs w:val="24"/>
        </w:rPr>
        <w:t xml:space="preserve">закона </w:t>
      </w:r>
      <w:r>
        <w:rPr>
          <w:rFonts w:ascii="Times New Roman" w:hAnsi="Times New Roman" w:cs="Times New Roman"/>
          <w:sz w:val="24"/>
          <w:szCs w:val="24"/>
        </w:rPr>
        <w:t xml:space="preserve">от 20.08.2004 </w:t>
      </w:r>
      <w:r w:rsidR="006E0AD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113-ФЗ «О присяжных заседателях федеральных судов общей юрисдикции в Российской Федерации», утвержденной Распоряжением Правительства Российской Федерации от 21.09.2006 № 1331-р;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31140" cy="260985"/>
            <wp:effectExtent l="0" t="0" r="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расчетное число граждан, подлежащих включению в списки кандидатов в присяжные заседатели в i-том муниципальном образовании в Камчатском крае по заявкам председателей судов в Камчатском крае либо утративших право быть присяжными заседателями в i-том муниципальном образовании в Камчатском крае по данным </w:t>
      </w:r>
      <w:r w:rsidR="00D13093" w:rsidRPr="00D13093">
        <w:rPr>
          <w:rFonts w:ascii="Times New Roman" w:hAnsi="Times New Roman" w:cs="Times New Roman"/>
          <w:sz w:val="24"/>
          <w:szCs w:val="24"/>
        </w:rPr>
        <w:t>Агентства по обеспечению деятельности мировых судей Камчатского края</w:t>
      </w:r>
      <w:r>
        <w:rPr>
          <w:rFonts w:ascii="Times New Roman" w:hAnsi="Times New Roman" w:cs="Times New Roman"/>
          <w:sz w:val="24"/>
          <w:szCs w:val="24"/>
        </w:rPr>
        <w:t xml:space="preserve"> (в случае изменения списков кандидатов в присяжные заседатели);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321310" cy="231140"/>
            <wp:effectExtent l="0" t="0" r="254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индекс роста потребительских цен на очередной финансовый год с учетом уровня инфляции в соответствии с федеральным законом о федеральном бюджете на очередной финансовый год и на плановый период;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62280" cy="281305"/>
            <wp:effectExtent l="0" t="0" r="0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размер расходов i-того муниципального образования в Камчатском крае, связанных с публикацией списков кандидатов в присяжные заседатели в средствах массовой информации, на очередной финансовый год, определяемый по формуле: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637665" cy="281305"/>
            <wp:effectExtent l="0" t="0" r="635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441960" cy="23114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средний уровень расценок за один печатный лист публикации списков кандидатов в присяжные заседатели в средствах массовой информации по данным </w:t>
      </w:r>
      <w:r w:rsidR="00D13093" w:rsidRPr="00D13093">
        <w:rPr>
          <w:rFonts w:ascii="Times New Roman" w:hAnsi="Times New Roman" w:cs="Times New Roman"/>
          <w:sz w:val="24"/>
          <w:szCs w:val="24"/>
        </w:rPr>
        <w:t>Агентства по обеспечению деятельности мировых судей Камчатского края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72440" cy="281305"/>
            <wp:effectExtent l="0" t="0" r="381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количество печатных листов списков кандидатов в присяжные заседатели в i-том муниципальном образовании в Камчатском крае по данным </w:t>
      </w:r>
      <w:r w:rsidR="005B0203" w:rsidRPr="005B0203">
        <w:rPr>
          <w:rFonts w:ascii="Times New Roman" w:hAnsi="Times New Roman" w:cs="Times New Roman"/>
          <w:sz w:val="24"/>
          <w:szCs w:val="24"/>
        </w:rPr>
        <w:t>Агентства по обеспечению деятельности мировых судей Камчатского края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 случае, если сумма расчетных размеров субвенций, исчисленных в соответствии с </w:t>
      </w:r>
      <w:r w:rsidR="006E0ADB">
        <w:rPr>
          <w:rFonts w:ascii="Times New Roman" w:hAnsi="Times New Roman" w:cs="Times New Roman"/>
          <w:sz w:val="24"/>
          <w:szCs w:val="24"/>
        </w:rPr>
        <w:t xml:space="preserve">частью 1 </w:t>
      </w:r>
      <w:r>
        <w:rPr>
          <w:rFonts w:ascii="Times New Roman" w:hAnsi="Times New Roman" w:cs="Times New Roman"/>
          <w:sz w:val="24"/>
          <w:szCs w:val="24"/>
        </w:rPr>
        <w:t>настоящей Методики для каждого муниципального образования в Камчатском крае, осуществляющего государственные полномочия по составлению (изменению) списков кандидатов в присяжные заседатели, превышает объем субвенции, предусмотренной Камчатскому краю федеральным законом о федеральном бюджете на очередной финансовый год и на плановый период, распределение субвенций местным бюджетам, предоставляемых за счет субвенций краевому бюджету из федерального бюджета для осуществления государственных полномочий по составлению (изменению) списков кандидатов в присяжные заседатели, осуществляется по формуле: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lastRenderedPageBreak/>
        <w:drawing>
          <wp:inline distT="0" distB="0" distL="0" distR="0">
            <wp:extent cx="1838960" cy="281305"/>
            <wp:effectExtent l="0" t="0" r="889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41960" cy="281305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скорректированный размер субвенции бюджету i-того муниципального образования в Камчатском крае для осуществления государственных полномочий по составлению (изменению) списков кандидатов в присяжные заседатели;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311785" cy="2413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объем субвенции, предусмотренной Камчатскому краю федеральным законом о федеральном бюджете на очередной финансовый год и на плановый период;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422275" cy="241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сумма расчетных размеров субвенций, исчисленных в соответствии с </w:t>
      </w:r>
      <w:r w:rsidR="006E0ADB">
        <w:rPr>
          <w:rFonts w:ascii="Times New Roman" w:hAnsi="Times New Roman" w:cs="Times New Roman"/>
          <w:sz w:val="24"/>
          <w:szCs w:val="24"/>
        </w:rPr>
        <w:t xml:space="preserve">частью 1 </w:t>
      </w:r>
      <w:r>
        <w:rPr>
          <w:rFonts w:ascii="Times New Roman" w:hAnsi="Times New Roman" w:cs="Times New Roman"/>
          <w:sz w:val="24"/>
          <w:szCs w:val="24"/>
        </w:rPr>
        <w:t>настоящей Методики для каждого муниципального образования в Камчатском крае, осуществляющего государственные полномочия по составлению (изменению) списков кандидатов в присяжные заседатели;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22275" cy="2813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расчетный размер субвенции бюджету i-того муниципального образования в Камчатском крае для осуществления государственных полномочий по составлению (изменению) списков кандидатов в присяжные заседатели.</w:t>
      </w:r>
    </w:p>
    <w:p w:rsidR="0025106D" w:rsidRPr="00273BA5" w:rsidRDefault="0025106D" w:rsidP="006E0ADB">
      <w:pPr>
        <w:pStyle w:val="ConsPlusNormal"/>
        <w:widowControl/>
        <w:tabs>
          <w:tab w:val="left" w:pos="993"/>
        </w:tabs>
        <w:spacing w:before="100" w:beforeAutospacing="1"/>
        <w:jc w:val="both"/>
        <w:rPr>
          <w:sz w:val="24"/>
          <w:szCs w:val="24"/>
        </w:rPr>
      </w:pPr>
    </w:p>
    <w:sectPr w:rsidR="0025106D" w:rsidRPr="00273BA5" w:rsidSect="004C106D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ase_23824_27127_32793" style="width:8in;height:456pt;visibility:visible;mso-wrap-style:square" o:bullet="t">
        <v:imagedata r:id="rId1" o:title="base_23824_27127_32793"/>
        <o:lock v:ext="edit" aspectratio="f"/>
      </v:shape>
    </w:pict>
  </w:numPicBullet>
  <w:numPicBullet w:numPicBulletId="1">
    <w:pict>
      <v:shape id="_x0000_i1027" type="#_x0000_t75" alt="base_23824_27127_32775" style="width:600pt;height:6in;visibility:visible;mso-wrap-style:square" o:bullet="t">
        <v:imagedata r:id="rId2" o:title="base_23824_27127_32775"/>
        <o:lock v:ext="edit" aspectratio="f"/>
      </v:shape>
    </w:pict>
  </w:numPicBullet>
  <w:abstractNum w:abstractNumId="0" w15:restartNumberingAfterBreak="0">
    <w:nsid w:val="1BAD6825"/>
    <w:multiLevelType w:val="hybridMultilevel"/>
    <w:tmpl w:val="535A1E82"/>
    <w:lvl w:ilvl="0" w:tplc="B5061B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DA7C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BA6F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8AB7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04C7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868A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0E67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F00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FC99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0F03CBE"/>
    <w:multiLevelType w:val="hybridMultilevel"/>
    <w:tmpl w:val="F78C6B2A"/>
    <w:lvl w:ilvl="0" w:tplc="CAB86BE6">
      <w:start w:val="1"/>
      <w:numFmt w:val="decimal"/>
      <w:lvlText w:val="%1)"/>
      <w:lvlJc w:val="left"/>
      <w:pPr>
        <w:ind w:left="1500" w:hanging="9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55E7896"/>
    <w:multiLevelType w:val="hybridMultilevel"/>
    <w:tmpl w:val="526684FA"/>
    <w:lvl w:ilvl="0" w:tplc="837A3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B542D60"/>
    <w:multiLevelType w:val="hybridMultilevel"/>
    <w:tmpl w:val="A7285DB2"/>
    <w:lvl w:ilvl="0" w:tplc="0DD02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6D1AF9"/>
    <w:multiLevelType w:val="hybridMultilevel"/>
    <w:tmpl w:val="D28A75D2"/>
    <w:lvl w:ilvl="0" w:tplc="74DC8B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8409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9C30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044C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6815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A687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4EE2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2C4D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5EDE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69602F9"/>
    <w:multiLevelType w:val="hybridMultilevel"/>
    <w:tmpl w:val="F5E2A266"/>
    <w:lvl w:ilvl="0" w:tplc="E4D44F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0A36101"/>
    <w:multiLevelType w:val="hybridMultilevel"/>
    <w:tmpl w:val="CE065E74"/>
    <w:lvl w:ilvl="0" w:tplc="1B8C17B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690"/>
    <w:rsid w:val="0003736E"/>
    <w:rsid w:val="000858E2"/>
    <w:rsid w:val="000F4EC7"/>
    <w:rsid w:val="00184B01"/>
    <w:rsid w:val="0025106D"/>
    <w:rsid w:val="00273BA5"/>
    <w:rsid w:val="003201CE"/>
    <w:rsid w:val="003B733B"/>
    <w:rsid w:val="003C777B"/>
    <w:rsid w:val="0043102F"/>
    <w:rsid w:val="004C106D"/>
    <w:rsid w:val="00552D0B"/>
    <w:rsid w:val="005B0203"/>
    <w:rsid w:val="006A6295"/>
    <w:rsid w:val="006E0ADB"/>
    <w:rsid w:val="00746BD2"/>
    <w:rsid w:val="008618F7"/>
    <w:rsid w:val="008C2CBF"/>
    <w:rsid w:val="00984036"/>
    <w:rsid w:val="00992690"/>
    <w:rsid w:val="00A41198"/>
    <w:rsid w:val="00A8652A"/>
    <w:rsid w:val="00AA7092"/>
    <w:rsid w:val="00AC7CFF"/>
    <w:rsid w:val="00B005EE"/>
    <w:rsid w:val="00BB23BF"/>
    <w:rsid w:val="00C73BE0"/>
    <w:rsid w:val="00C757BC"/>
    <w:rsid w:val="00CF5CA1"/>
    <w:rsid w:val="00D13093"/>
    <w:rsid w:val="00E9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2CA2537"/>
  <w15:docId w15:val="{761B141D-0C27-4A5E-B37C-25891CC8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26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926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2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6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1198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84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wmf"/><Relationship Id="rId13" Type="http://schemas.openxmlformats.org/officeDocument/2006/relationships/image" Target="media/image11.wmf"/><Relationship Id="rId18" Type="http://schemas.openxmlformats.org/officeDocument/2006/relationships/image" Target="media/image16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9.wmf"/><Relationship Id="rId7" Type="http://schemas.openxmlformats.org/officeDocument/2006/relationships/image" Target="media/image5.wmf"/><Relationship Id="rId12" Type="http://schemas.openxmlformats.org/officeDocument/2006/relationships/image" Target="media/image10.wmf"/><Relationship Id="rId17" Type="http://schemas.openxmlformats.org/officeDocument/2006/relationships/image" Target="media/image15.wmf"/><Relationship Id="rId25" Type="http://schemas.openxmlformats.org/officeDocument/2006/relationships/image" Target="media/image23.wmf"/><Relationship Id="rId2" Type="http://schemas.openxmlformats.org/officeDocument/2006/relationships/styles" Target="styles.xml"/><Relationship Id="rId16" Type="http://schemas.openxmlformats.org/officeDocument/2006/relationships/image" Target="media/image14.wmf"/><Relationship Id="rId20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image" Target="media/image4.wmf"/><Relationship Id="rId11" Type="http://schemas.openxmlformats.org/officeDocument/2006/relationships/image" Target="media/image9.wmf"/><Relationship Id="rId24" Type="http://schemas.openxmlformats.org/officeDocument/2006/relationships/image" Target="media/image22.wmf"/><Relationship Id="rId5" Type="http://schemas.openxmlformats.org/officeDocument/2006/relationships/image" Target="media/image3.wmf"/><Relationship Id="rId15" Type="http://schemas.openxmlformats.org/officeDocument/2006/relationships/image" Target="media/image13.wmf"/><Relationship Id="rId23" Type="http://schemas.openxmlformats.org/officeDocument/2006/relationships/image" Target="media/image21.wmf"/><Relationship Id="rId10" Type="http://schemas.openxmlformats.org/officeDocument/2006/relationships/image" Target="media/image8.wmf"/><Relationship Id="rId19" Type="http://schemas.openxmlformats.org/officeDocument/2006/relationships/image" Target="media/image17.wmf"/><Relationship Id="rId4" Type="http://schemas.openxmlformats.org/officeDocument/2006/relationships/webSettings" Target="webSettings.xml"/><Relationship Id="rId9" Type="http://schemas.openxmlformats.org/officeDocument/2006/relationships/image" Target="media/image7.wmf"/><Relationship Id="rId14" Type="http://schemas.openxmlformats.org/officeDocument/2006/relationships/image" Target="media/image12.wmf"/><Relationship Id="rId22" Type="http://schemas.openxmlformats.org/officeDocument/2006/relationships/image" Target="media/image20.wmf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Слюнкина Евгения Михайловна</dc:creator>
  <cp:lastModifiedBy>Шаманаева Елена Михайловна</cp:lastModifiedBy>
  <cp:revision>14</cp:revision>
  <cp:lastPrinted>2021-10-18T04:01:00Z</cp:lastPrinted>
  <dcterms:created xsi:type="dcterms:W3CDTF">2019-10-02T02:23:00Z</dcterms:created>
  <dcterms:modified xsi:type="dcterms:W3CDTF">2023-10-20T05:52:00Z</dcterms:modified>
</cp:coreProperties>
</file>