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953" w:rsidRDefault="008A4883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Министерство экономического развития</w:t>
      </w:r>
    </w:p>
    <w:p w:rsidR="005D3953" w:rsidRDefault="008A4883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Камчатского края</w:t>
      </w: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C691E" w:rsidRDefault="005C691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C691E" w:rsidRDefault="005C691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C691E" w:rsidRDefault="005C691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C691E" w:rsidRDefault="005C691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C691E" w:rsidRDefault="005C691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C691E" w:rsidRDefault="005C691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8A6248" w:rsidRDefault="008A6248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8A4883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предварительные итоги </w:t>
      </w:r>
    </w:p>
    <w:p w:rsidR="005D3953" w:rsidRDefault="008A4883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социально-экономического развития Камчатского края </w:t>
      </w:r>
    </w:p>
    <w:p w:rsidR="005D3953" w:rsidRDefault="008A4883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за I полугодие 2023 года </w:t>
      </w:r>
    </w:p>
    <w:p w:rsidR="005D3953" w:rsidRDefault="008A4883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и оЖИДАЕМЫЕ ИТОГИ социально-экономического развития Камчатского края </w:t>
      </w:r>
    </w:p>
    <w:p w:rsidR="005D3953" w:rsidRDefault="008A4883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 2023 год</w:t>
      </w:r>
    </w:p>
    <w:p w:rsidR="005D3953" w:rsidRDefault="005D395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8A488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г. Петропавловск-Камчатский</w:t>
      </w:r>
    </w:p>
    <w:p w:rsidR="005D3953" w:rsidRDefault="008A488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2023 год</w:t>
      </w:r>
    </w:p>
    <w:p w:rsidR="005D3953" w:rsidRDefault="005D39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3953" w:rsidRDefault="005D3953">
      <w:pPr>
        <w:keepNext/>
        <w:spacing w:after="0" w:line="240" w:lineRule="auto"/>
        <w:ind w:firstLine="737"/>
        <w:jc w:val="center"/>
        <w:rPr>
          <w:rFonts w:ascii="Times New Roman" w:hAnsi="Times New Roman"/>
          <w:b/>
          <w:sz w:val="28"/>
        </w:rPr>
      </w:pPr>
    </w:p>
    <w:p w:rsidR="005D3953" w:rsidRDefault="008A4883">
      <w:pPr>
        <w:spacing w:after="0" w:line="240" w:lineRule="auto"/>
        <w:ind w:firstLine="73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Пояснительная записка </w:t>
      </w:r>
    </w:p>
    <w:p w:rsidR="005D3953" w:rsidRDefault="008A4883">
      <w:pPr>
        <w:spacing w:after="0" w:line="240" w:lineRule="auto"/>
        <w:ind w:firstLine="73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предварительным итогам социально-экономического развития Камчатского края за I полугодие 2023 года и ожидаемым итогам социально-экономического развития Камчатского края за </w:t>
      </w:r>
      <w:r>
        <w:rPr>
          <w:rFonts w:ascii="Times New Roman" w:hAnsi="Times New Roman"/>
          <w:b/>
          <w:sz w:val="28"/>
        </w:rPr>
        <w:t>2023 год</w:t>
      </w:r>
    </w:p>
    <w:p w:rsidR="005D3953" w:rsidRDefault="005D3953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5D3953" w:rsidRDefault="008A4883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показатели по итогам социально–экономического развития Камчатского края за I полугодие 2023 года и оценка 2023 года приведены в Приложении.</w:t>
      </w:r>
    </w:p>
    <w:p w:rsidR="005D3953" w:rsidRDefault="008A4883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этом основные показатели и анализ итогов социально–экономического развития Камчатского края </w:t>
      </w:r>
      <w:r>
        <w:rPr>
          <w:rFonts w:ascii="Times New Roman" w:hAnsi="Times New Roman"/>
          <w:sz w:val="28"/>
        </w:rPr>
        <w:t>за I полугодие 2023 года выполнены на основе данных оперативного учета Территориального органа Федеральной службы государственной статистики по Камчатскому краю по кругу обследуемых предприятий и организаций с дорасчетом до полного круга предприятий, а так</w:t>
      </w:r>
      <w:r>
        <w:rPr>
          <w:rFonts w:ascii="Times New Roman" w:hAnsi="Times New Roman"/>
          <w:sz w:val="28"/>
        </w:rPr>
        <w:t>же других данных оперативного учета. В целом данные оперативного учета органов статистики, достаточно достоверно отражая ситуацию, могут несколько искажать истинную динамику отдельных показателей социально-экономического развития, так как основные показате</w:t>
      </w:r>
      <w:r>
        <w:rPr>
          <w:rFonts w:ascii="Times New Roman" w:hAnsi="Times New Roman"/>
          <w:sz w:val="28"/>
        </w:rPr>
        <w:t>ли социально–экономического развития Камчатского края за январь – июнь 2023 года по предварительным данным оперативного учета соотносятся с данными уточненного отчета по итогам за январь – июнь 2022 года.</w:t>
      </w:r>
    </w:p>
    <w:p w:rsidR="005D3953" w:rsidRDefault="005D3953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5D3953" w:rsidRDefault="008A4883">
      <w:pPr>
        <w:keepNext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МАКРОЭКОНОМИЧЕСКИЕ ПОКАЗАТЕЛИ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Индекс потребительск</w:t>
      </w:r>
      <w:r>
        <w:rPr>
          <w:rFonts w:ascii="Times New Roman" w:hAnsi="Times New Roman"/>
          <w:sz w:val="28"/>
        </w:rPr>
        <w:t xml:space="preserve">их цен в январе-июне 2023 года по отношению к январю-июню 2022 года составил 108,1% (103,5% к декабрю 2022 года), в том числе 109,3% на продовольственные товары, 109,2% на непродовольственные товары и 104,6% на услуги.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Среднегодовой рост цен по Камчатском</w:t>
      </w:r>
      <w:r>
        <w:rPr>
          <w:rFonts w:ascii="Times New Roman" w:hAnsi="Times New Roman"/>
          <w:sz w:val="28"/>
        </w:rPr>
        <w:t>у краю в 2023 году ожидается на уровне 105,0%, декабрь к декабрю – 105,6%, что соответствует прогнозируемым показателям по Российской Федерации.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Сальдированный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финансовый результат</w:t>
      </w:r>
      <w:r>
        <w:rPr>
          <w:rFonts w:ascii="Times New Roman" w:hAnsi="Times New Roman"/>
          <w:sz w:val="28"/>
        </w:rPr>
        <w:t xml:space="preserve"> деятельности учтенного круга крупных и средних предприятий за январь-июнь 2</w:t>
      </w:r>
      <w:r>
        <w:rPr>
          <w:rFonts w:ascii="Times New Roman" w:hAnsi="Times New Roman"/>
          <w:sz w:val="28"/>
        </w:rPr>
        <w:t xml:space="preserve">023 года составил </w:t>
      </w:r>
      <w:r>
        <w:rPr>
          <w:rFonts w:ascii="Times New Roman" w:hAnsi="Times New Roman"/>
          <w:sz w:val="28"/>
        </w:rPr>
        <w:br/>
        <w:t>9 496,3 млн рублей, что меньше аналогичного показателя прошлого года на 21,2%.</w:t>
      </w:r>
    </w:p>
    <w:p w:rsidR="005D3953" w:rsidRPr="005C691E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C691E">
        <w:rPr>
          <w:rFonts w:ascii="Times New Roman" w:hAnsi="Times New Roman"/>
          <w:sz w:val="28"/>
        </w:rPr>
        <w:t>Положительный сальдированный результат получен по основным видам деятельности: «сельское, лесное хозяйство, охота, рыболовство и рыбоводство» – 4 751,6 млн ру</w:t>
      </w:r>
      <w:r w:rsidRPr="005C691E">
        <w:rPr>
          <w:rFonts w:ascii="Times New Roman" w:hAnsi="Times New Roman"/>
          <w:sz w:val="28"/>
        </w:rPr>
        <w:t>блей; «обрабатывающие производства» – 720,5 млн рублей; «транспортировка и хранение» – 464,9 млн рублей; «обеспечение электрической энергией, газом и паром» – 6 340,8 млн рублей; «водоснабжение, водоотведение, сбор и утилизация отходов, деятельность по лик</w:t>
      </w:r>
      <w:r w:rsidRPr="005C691E">
        <w:rPr>
          <w:rFonts w:ascii="Times New Roman" w:hAnsi="Times New Roman"/>
          <w:sz w:val="28"/>
        </w:rPr>
        <w:t>видации загрязнений» – 160,2 млн рублей; «деятельность по операциям с недвижимым имуществом» – 163,2 млн рублей; «торговля оптовая и розничная; ремонт автотранспортных средств и мотоциклов» – 850,9 млн рублей.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Удельный вес убыточных организаций в общем чис</w:t>
      </w:r>
      <w:r>
        <w:rPr>
          <w:rFonts w:ascii="Times New Roman" w:hAnsi="Times New Roman"/>
          <w:sz w:val="28"/>
        </w:rPr>
        <w:t>ле организаций составил 39,2% от их общего числа.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Дебиторская задолженность по состоянию на 01.07.2023 составила 107 739,2 млн рублей, что на 10,1% выше, чем на 01.07.2022. Удельный вес просроченной дебиторской задолженности в общем объеме задолженности на</w:t>
      </w:r>
      <w:r>
        <w:rPr>
          <w:rFonts w:ascii="Times New Roman" w:hAnsi="Times New Roman"/>
          <w:sz w:val="28"/>
        </w:rPr>
        <w:t xml:space="preserve"> 01.07.2023 </w:t>
      </w:r>
      <w:r>
        <w:rPr>
          <w:rFonts w:ascii="Times New Roman" w:hAnsi="Times New Roman"/>
          <w:sz w:val="28"/>
        </w:rPr>
        <w:lastRenderedPageBreak/>
        <w:t>составил 7,3%. Суммарный объем просроченной дебиторской задолженности по сравнению с аналогичным периодом прошлого года увеличился на 20,1% и составил 7 819,1 млн рублей.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Кредиторская задолженность по состоянию на 01.07.2023 составила 100 241,5</w:t>
      </w:r>
      <w:r>
        <w:rPr>
          <w:rFonts w:ascii="Times New Roman" w:hAnsi="Times New Roman"/>
          <w:sz w:val="28"/>
        </w:rPr>
        <w:t xml:space="preserve"> млн рублей, что на 10,4% выше, чем на 01.07.2022. Удельный вес просроченной дебиторской задолженности в общем объеме задолженности на 01.07.2023 составил 1,3%. Суммарный объем просроченной дебиторской задолженности по сравнению с аналогичным периодом прош</w:t>
      </w:r>
      <w:r>
        <w:rPr>
          <w:rFonts w:ascii="Times New Roman" w:hAnsi="Times New Roman"/>
          <w:sz w:val="28"/>
        </w:rPr>
        <w:t>лого года уменьшился на 23,7% и составил 1 257,1 млн рублей.</w:t>
      </w:r>
    </w:p>
    <w:p w:rsidR="005D3953" w:rsidRDefault="005D3953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5D3953" w:rsidRDefault="008A4883">
      <w:pPr>
        <w:keepNext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СФЕРА МАТЕРИАЛЬНОГО ПРОИЗВОДСТВА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Оборот организаций по всем видам экономической деятельности за январь-июнь 2023 года составил 252 925,3 млн рублей, вырос на 6,0% к январю-июню 2022 года.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Отмече</w:t>
      </w:r>
      <w:r>
        <w:rPr>
          <w:rFonts w:ascii="Times New Roman" w:hAnsi="Times New Roman"/>
          <w:sz w:val="28"/>
        </w:rPr>
        <w:t>н рост промышленного производства, инвестиций в основной капитал, производства продукции сельского хозяйства, ввода в действие жилых домов, объема платных услуг населению, оборота оптовой торговли, пассажирооборота автомобильного транспорта.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Зафиксирован с</w:t>
      </w:r>
      <w:r>
        <w:rPr>
          <w:rFonts w:ascii="Times New Roman" w:hAnsi="Times New Roman"/>
          <w:sz w:val="28"/>
        </w:rPr>
        <w:t>пад объема строительных работ, грузооборота автомобильного транспорта, оборота общественного питания и розничной торговли.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Индекс промышленного производства составил 113,6%. Отмечается рост в добывающей промышленности на 41,9%, обрабатывающих производствах</w:t>
      </w:r>
      <w:r>
        <w:rPr>
          <w:rFonts w:ascii="Times New Roman" w:hAnsi="Times New Roman"/>
          <w:sz w:val="28"/>
        </w:rPr>
        <w:t xml:space="preserve"> на 11,7%, в деятельности организаций по обеспечению электрической энергией, газом и паром; кондиционированию воздуха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sz w:val="28"/>
        </w:rPr>
        <w:t xml:space="preserve">– 4,0%. Отрицательная динамика наблюдается в водоснабжении, водоотведении, организации сбора и утилизации отходов, ликвидации загрязнений </w:t>
      </w:r>
      <w:r>
        <w:rPr>
          <w:rFonts w:ascii="Times New Roman" w:hAnsi="Times New Roman"/>
          <w:sz w:val="28"/>
        </w:rPr>
        <w:t>(– 22,9 %).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Предприятиями, осуществляющими добычу полезных ископаемых, отгружено продукции на 17 880,4 млн рублей (118,2% к январю-июню 2022 года в действующих ценах). Индекс производства составил 141,9%, что обусловлено ростом добычи металлических руд на </w:t>
      </w:r>
      <w:r>
        <w:rPr>
          <w:rFonts w:ascii="Times New Roman" w:hAnsi="Times New Roman"/>
          <w:sz w:val="28"/>
        </w:rPr>
        <w:t>48,2% (золото и серебро) АО «ТСГ Асача» на Асачинском месторождении, АО «Камчатское золото» на Бараньевском месторождении.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обрабатывающих производствах отгружено товаров собственного производства на сумму 70 201,7 млн рублей или 120,0% по отношению к янв</w:t>
      </w:r>
      <w:r>
        <w:rPr>
          <w:rFonts w:ascii="Times New Roman" w:hAnsi="Times New Roman"/>
          <w:sz w:val="28"/>
        </w:rPr>
        <w:t>арю-июню 2022 года, индекс производства составил 111,7%.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Индекс производства пищевых продуктов составил 109,9% к январю-июню 2022 года, объем отгруженной продукции составил 65 918,2 млн рублей (118,2% к январю-июню 2022 года).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Рыбы переработанной и </w:t>
      </w:r>
      <w:r>
        <w:rPr>
          <w:rFonts w:ascii="Times New Roman" w:hAnsi="Times New Roman"/>
          <w:sz w:val="28"/>
        </w:rPr>
        <w:t>консервированной, ракообразных и моллюсков произведено 546,3 тыс. тонн или 112,2% к январю-июню 2022 года.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Рыбодобывающими предприятиями Камчатского края выловлено 761,7 тыс. тонн рыбы и морепродуктов (107,0% к январю-июню 2022 года). 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объемов в</w:t>
      </w:r>
      <w:r>
        <w:rPr>
          <w:rFonts w:ascii="Times New Roman" w:hAnsi="Times New Roman"/>
          <w:sz w:val="28"/>
        </w:rPr>
        <w:t>ылова отмечается по: камбале +1,2%, минтаю +8,2%, сельди +19,5%, сардине иваси в 3,5 раза, крабам +42,3% и макрурусам в 1,5 раза.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8"/>
        </w:rPr>
        <w:lastRenderedPageBreak/>
        <w:t>На предприятиях по обеспечению электрической энергией, газом и паром отгружено продукции собственного производства на сумму 14</w:t>
      </w:r>
      <w:r>
        <w:rPr>
          <w:rFonts w:ascii="Times New Roman" w:hAnsi="Times New Roman"/>
          <w:sz w:val="28"/>
        </w:rPr>
        <w:t> 475,1 млн рублей, что составляет 116,0% к январю-июню 2022 года, индекс производства составил 104,0%. Производство электроэнергии увеличилось на 4,0 % к январю-июню 2022 года и составило 1 073,3 млн кВт-ч. Производство тепловой энергии, пара и горячей вод</w:t>
      </w:r>
      <w:r>
        <w:rPr>
          <w:rFonts w:ascii="Times New Roman" w:hAnsi="Times New Roman"/>
          <w:sz w:val="28"/>
        </w:rPr>
        <w:t>ы увеличилось на 3,1% (произведено 2 138,0 тыс. Гкал.).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8"/>
        </w:rPr>
        <w:t>Объем отгруженных товаров предприятиями водоснабжения; водоотведения, сбора и утилизации отходов составил 1 794,3 млн рублей (108,1% к январю-июню 2022 года), индекс производства составил 77,1%, в том</w:t>
      </w:r>
      <w:r>
        <w:rPr>
          <w:rFonts w:ascii="Times New Roman" w:hAnsi="Times New Roman"/>
          <w:sz w:val="28"/>
        </w:rPr>
        <w:t xml:space="preserve"> числе индекс производства по забору, очистке и распределению воды составил 75,4%, по сбору и обработке сточных вод – 82,0%, по сбору, обработке и утилизации отходов; обработки вторичного сырья на 76,1%.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отгруженных товаров собственного производства,</w:t>
      </w:r>
      <w:r>
        <w:rPr>
          <w:rFonts w:ascii="Times New Roman" w:hAnsi="Times New Roman"/>
          <w:sz w:val="28"/>
        </w:rPr>
        <w:t xml:space="preserve"> выполненных работ и услуг собственными силами по виду деятельности «Добыча полезных ископаемых» по оценке в 2023 году сложится в размере 31 505,1 млн руб. Индекс производства оценивается на уровне 101,7%.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обрабатывающих производствах объем отгруженных </w:t>
      </w:r>
      <w:r>
        <w:rPr>
          <w:rFonts w:ascii="Times New Roman" w:hAnsi="Times New Roman"/>
          <w:sz w:val="28"/>
        </w:rPr>
        <w:t>товаров собственного производства в 2023 году оценивается в размере 163 865,3 млн руб. Индекс производства составит 122,5%. Объем отгруженной продукции по производству пищевых продуктов по оценке в 2023 году сложится в объеме 154 958,9 млн руб., индекс про</w:t>
      </w:r>
      <w:r>
        <w:rPr>
          <w:rFonts w:ascii="Times New Roman" w:hAnsi="Times New Roman"/>
          <w:sz w:val="28"/>
        </w:rPr>
        <w:t xml:space="preserve">изводства продукции оценивается в 123,5%.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предприятиях по обеспечению электрической энергией, газом и паром; кондиционированием воздуха объем отгруженной продукции в 2022 году оценивается в размере 28 262,3 млн руб., индекс производства составит 102,4%</w:t>
      </w:r>
      <w:r>
        <w:rPr>
          <w:rFonts w:ascii="Times New Roman" w:hAnsi="Times New Roman"/>
          <w:sz w:val="28"/>
        </w:rPr>
        <w:t xml:space="preserve"> к уровню 2022 года. Электростанциями будет произведено 2 068,8 млн кВт/час электроэнергии (102,6%). </w:t>
      </w:r>
    </w:p>
    <w:p w:rsidR="005D3953" w:rsidRDefault="008A488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отгруженной продукции предприятиями водоснабжения, водоотведения, организации сбора и утилизации отходов, деятельности по ликвидации загрязнений в 2</w:t>
      </w:r>
      <w:r>
        <w:rPr>
          <w:rFonts w:ascii="Times New Roman" w:hAnsi="Times New Roman"/>
          <w:sz w:val="28"/>
        </w:rPr>
        <w:t>023 году оценивается в размере 3 818,7 млн руб., индекс производства составит 97,7% к уровню 2022 года.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Грузооборот автомобильного транспорта за январь-июнь 2023 года составил 8,3 млн т-км (71,7% к январю-июню 2022 года). Объем перевезенного груза автомоби</w:t>
      </w:r>
      <w:r>
        <w:rPr>
          <w:rFonts w:ascii="Times New Roman" w:hAnsi="Times New Roman"/>
          <w:sz w:val="28"/>
        </w:rPr>
        <w:t xml:space="preserve">льным транспортом составил 762,0 тыс. тонн (171,6% к январю-июню 2022 года). 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Пассажирооборот автомобильного транспорта за январь-июнь 2023 года составил 140,2 млн пасс.-км (101,5% к январю-июню 2022 года). Число перевезенных пассажиров автомобильным транс</w:t>
      </w:r>
      <w:r>
        <w:rPr>
          <w:rFonts w:ascii="Times New Roman" w:hAnsi="Times New Roman"/>
          <w:sz w:val="28"/>
        </w:rPr>
        <w:t>портом составило 16,9 млн человек (98,5% к январю-июню 2022 года).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перевезенного груза на морском транспорте составил 260,7 тыс. тонн (96,3 % к январю-июню 2022 года). Грузооборот морского транспорта увеличился на 8,9 % и составил 491,9 млн т-км. 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>ъем производства сельскохозяйственной продукции в январе-июне 2023 года составил 6 714,6 млн рублей (102,7% к январю-июню 2022 года).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январе-июне 2023 года в сельскохозяйственных организациях Камчатского края ситуация в сфере животноводства сложилась сле</w:t>
      </w:r>
      <w:r>
        <w:rPr>
          <w:rFonts w:ascii="Times New Roman" w:hAnsi="Times New Roman"/>
          <w:sz w:val="28"/>
        </w:rPr>
        <w:t>дующим образом: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производство мяса составило 4,5 тыс. тонн (101,7% к январю-июню 2022 года);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производство яйца увеличилось на 13,7%, яйценоскость кур-несушек составила 104,8% к январю-июню 2022 года;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производство молока составило 11,1 тыс. тонн (96,4%</w:t>
      </w:r>
      <w:r>
        <w:rPr>
          <w:rFonts w:ascii="Times New Roman" w:hAnsi="Times New Roman"/>
          <w:sz w:val="28"/>
        </w:rPr>
        <w:t xml:space="preserve"> к январю-июню 2022 года). Средний надой молока на одну корову снизился на 0,6%.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оценке в 2023 году валовая продукция сельского хозяйства в сопоставимых ценах снизится к уровню предшествующего года на 3,3% и составит 12 439,5 млн рублей.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Валовая продук</w:t>
      </w:r>
      <w:r>
        <w:rPr>
          <w:rFonts w:ascii="Times New Roman" w:hAnsi="Times New Roman"/>
          <w:sz w:val="28"/>
        </w:rPr>
        <w:t>ция животноводства в 2023 году составит 6 515,5 млн руб. (98,5% к 2022 году), растениеводства – 5 924,0 млн руб. (93,8% к 2022 году).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данным Единого Реестра субъектов малого и среднего предпринимательства по состоянию на 10 января 2023 года зарегистриро</w:t>
      </w:r>
      <w:r>
        <w:rPr>
          <w:rFonts w:ascii="Times New Roman" w:hAnsi="Times New Roman"/>
          <w:sz w:val="28"/>
        </w:rPr>
        <w:t>вано 15 018 субъектов малого и среднего предпринимательства, что на 0,2% больше, чем на 10 января 2022 года. Из них 14 522 микропредприятия, 455 малых предприятий, 41 средние предприятие. Юридических лиц – 5 379 субъектов и 9 639 индивидуальных предпринима</w:t>
      </w:r>
      <w:r>
        <w:rPr>
          <w:rFonts w:ascii="Times New Roman" w:hAnsi="Times New Roman"/>
          <w:sz w:val="28"/>
        </w:rPr>
        <w:t xml:space="preserve">телей.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Отраслевая структура малого и среднего бизнеса на протяжении последний лет остается практически неизменной. Наибольшая часть экономически активных субъектов малого и среднего предпринимательства сконцентрирована в сфере оптовой и розничной торговли</w:t>
      </w:r>
      <w:r>
        <w:rPr>
          <w:rFonts w:ascii="Times New Roman" w:hAnsi="Times New Roman"/>
          <w:sz w:val="28"/>
        </w:rPr>
        <w:t>, ремонта автотранспортных средств, строительства, транспортировки и хранения, обрабатывающих производств, деятельности по операциям с недвижимым имуществом.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Наибольшее число малых предприятий зарегистрировано в городской местности Камчатского края, что об</w:t>
      </w:r>
      <w:r>
        <w:rPr>
          <w:rFonts w:ascii="Times New Roman" w:hAnsi="Times New Roman"/>
          <w:sz w:val="28"/>
        </w:rPr>
        <w:t>ъясняется преимуществами транспортной инфраструктуры, возможностями потребительского рынка.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среднесписочной численности работников (без внешних совместителей) субъектов малого (включая микропредприятия) и среднего предпринимательства в среднесписочной</w:t>
      </w:r>
      <w:r>
        <w:rPr>
          <w:rFonts w:ascii="Times New Roman" w:hAnsi="Times New Roman"/>
          <w:sz w:val="28"/>
        </w:rPr>
        <w:t xml:space="preserve"> численности работников (без внешних совместителей) всех предприятий и организаций составляет 20,7%. 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I полугодии 2022 года оборот малых предприятий сформировался в размере 30 508,3 млн рублей (100,2% к уровню I полугодия 2022 года), оборот средних предп</w:t>
      </w:r>
      <w:r>
        <w:rPr>
          <w:rFonts w:ascii="Times New Roman" w:hAnsi="Times New Roman"/>
          <w:sz w:val="28"/>
        </w:rPr>
        <w:t>риятий – 11 733,6 млн рублей (115,2% к уровню I полугодия 2022 года).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Наибольшее количество индивидуальных предпринимателей осуществляют предпринимательскую деятельность в торговле – 37,1%, транспортировке и хранении – 9,3%, в сфере деятельности гостиниц и предприятий общественного питания – 5,0%, в строительстве – 10,3% и н</w:t>
      </w:r>
      <w:r>
        <w:rPr>
          <w:rFonts w:ascii="Times New Roman" w:hAnsi="Times New Roman"/>
          <w:sz w:val="28"/>
        </w:rPr>
        <w:t xml:space="preserve">а обрабатывающих производствах – 5,8%.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2022 году количество малых и средних предприятий, включая микропредприятия, по предварительной оценке, составит 5 440 единиц.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Среднесписочная численность работников малых (с учетом микропредприятий) и средних пред</w:t>
      </w:r>
      <w:r>
        <w:rPr>
          <w:rFonts w:ascii="Times New Roman" w:hAnsi="Times New Roman"/>
          <w:sz w:val="28"/>
        </w:rPr>
        <w:t xml:space="preserve">приятий в 2023 году составит 27,0 тыс. человек.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Сохранению экономической стабильности, обеспечению темпов экономического роста в Камчатском крае будет способствовать улучшение условий ведения предпринимательской деятельности, в том числе посредством реали</w:t>
      </w:r>
      <w:r>
        <w:rPr>
          <w:rFonts w:ascii="Times New Roman" w:hAnsi="Times New Roman"/>
          <w:sz w:val="28"/>
        </w:rPr>
        <w:t>зации на территории Камчатского края региональной составляющей национального проекта «Малое и среднее предпринимательство и поддержка индивидуальной предпринимательской инициативы».</w:t>
      </w:r>
    </w:p>
    <w:p w:rsidR="005D3953" w:rsidRDefault="005D3953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5D3953" w:rsidRDefault="008A4883">
      <w:pPr>
        <w:keepNext/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ВНЕШНЕЭКОНОМИЧЕСКАЯ ДЕЯТЕЛЬНОСТЬ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Наибольшую долю в объеме экспорта формир</w:t>
      </w:r>
      <w:r>
        <w:rPr>
          <w:rFonts w:ascii="Times New Roman" w:hAnsi="Times New Roman"/>
          <w:sz w:val="28"/>
        </w:rPr>
        <w:t xml:space="preserve">ует рыбная продукция. В структуре импорта товаров наибольшую долю занимают машиностроительная продукция, минеральные продукты и топливно-энергетические товары.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прогнозной оценке, внешнеторговый оборот (без учета услуг) в 2023 году составит 1 413,2 млн </w:t>
      </w:r>
      <w:r>
        <w:rPr>
          <w:rFonts w:ascii="Times New Roman" w:hAnsi="Times New Roman"/>
          <w:sz w:val="28"/>
        </w:rPr>
        <w:t>долларов США. Объем экспорта товаров оценивается в размере 1 171,3 млн долларов США, объем импорта товаров – 241,9 млн долларов США.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объем экспорта в 2023 году придется на страны дальнего зарубежья. Основную долю в объеме экспорта товаров по-прежн</w:t>
      </w:r>
      <w:r>
        <w:rPr>
          <w:rFonts w:ascii="Times New Roman" w:hAnsi="Times New Roman"/>
          <w:sz w:val="28"/>
        </w:rPr>
        <w:t>ему будет формировать рыбная продукция (не менее 90%). Практически весь объем экспортных и импортных операций Камчатского края будет осуществляться со странами вне СНГ (не менее 97%). Основными торговыми партнерами Камчатского края останутся страны Азиатск</w:t>
      </w:r>
      <w:r>
        <w:rPr>
          <w:rFonts w:ascii="Times New Roman" w:hAnsi="Times New Roman"/>
          <w:sz w:val="28"/>
        </w:rPr>
        <w:t>о-Тихоокеанского региона.</w:t>
      </w:r>
    </w:p>
    <w:p w:rsidR="005D3953" w:rsidRDefault="005D3953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5D3953" w:rsidRDefault="008A4883">
      <w:pPr>
        <w:keepNext/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ИНВЕСТИЦИОННАЯ ДЕЯТЕЛЬНОСТЬ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Объём инвестиций в основной капитал по полному кругу хозяйствующих субъектов, по оценке, за 1 полугодие 2023 года составил 35 865,3 млн рублей или 103,0% к 1 полугодию 2022 года (в сопоставимой оценке)</w:t>
      </w:r>
      <w:r>
        <w:rPr>
          <w:rFonts w:ascii="Times New Roman" w:hAnsi="Times New Roman"/>
          <w:sz w:val="28"/>
        </w:rPr>
        <w:t>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общий объем инвестиций в основной капитал оценивается в объеме 97 330,1 млн руб. (101,0% к 2022 году) при индексе-дефляторе 106,0%.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Объём работ, выполненных по виду экономической деятельности «Строительство» в январе-июне 2023 года составил </w:t>
      </w:r>
      <w:r>
        <w:rPr>
          <w:rFonts w:ascii="Times New Roman" w:hAnsi="Times New Roman"/>
          <w:sz w:val="28"/>
        </w:rPr>
        <w:t>11 843,2 млн рублей, что в сопоставимой оценке составляет 54,9 % относительно показателя за аналогичный период предыдущего года. Снижение показателя обусловлено неравномерностью учета выполненных строительных работ, а также высокой базой предыдущего года (</w:t>
      </w:r>
      <w:r>
        <w:rPr>
          <w:rFonts w:ascii="Times New Roman" w:hAnsi="Times New Roman"/>
          <w:sz w:val="28"/>
        </w:rPr>
        <w:t xml:space="preserve">225,3% – I полугодие 2022 года). В 2023 году продолжается строительство крупных инвестиционных объектов (краевая больница, театр кукол, автомобильная дорога регионального значения Камчатского края «п. Термальный – туристский кластер «Три вулкана», учебный </w:t>
      </w:r>
      <w:r>
        <w:rPr>
          <w:rFonts w:ascii="Times New Roman" w:hAnsi="Times New Roman"/>
          <w:sz w:val="28"/>
        </w:rPr>
        <w:t xml:space="preserve">корпус средней школы № 40, здание аэропорта, крупные внебюджетные инвестиционные проекты в сфере добычи полезных ископаемых). Факторы, способствующие значительному снижению объема работ в строительстве, отсутствуют.   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январь-июнь 2023 года на территори</w:t>
      </w:r>
      <w:r>
        <w:rPr>
          <w:rFonts w:ascii="Times New Roman" w:hAnsi="Times New Roman"/>
          <w:sz w:val="28"/>
        </w:rPr>
        <w:t>и Камчатского края введено в действие жилых домов (с учетом жилых домов, построенных на земельных участках, предназначенных для ведения гражданами садоводства) общей площадью 39,3 тыс. кв. метров (122,0% к аналогичному периоду 2022 года), в том числе, пост</w:t>
      </w:r>
      <w:r>
        <w:rPr>
          <w:rFonts w:ascii="Times New Roman" w:hAnsi="Times New Roman"/>
          <w:sz w:val="28"/>
        </w:rPr>
        <w:t xml:space="preserve">роенных населением за счет собственных и привлеченных средств </w:t>
      </w:r>
      <w:r>
        <w:rPr>
          <w:rFonts w:ascii="Times New Roman" w:hAnsi="Times New Roman"/>
          <w:sz w:val="28"/>
        </w:rPr>
        <w:br/>
        <w:t>32,3 тыс. кв. метров (112,9% к аналогичному периоду 2022 года).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Федеральной адресной инвестиционной программой на 2023 год и на плановый период 2024 и 2025 годов, утвержденной </w:t>
      </w:r>
      <w:r>
        <w:rPr>
          <w:rFonts w:ascii="Times New Roman" w:hAnsi="Times New Roman"/>
          <w:sz w:val="28"/>
        </w:rPr>
        <w:t>Президиумом Правительственной комиссии по региональному развитию в Российской Федерации от 8 декабря 2022 года (далее – ФАИП), на строительство и реконструкцию объектов государственной собственности, находящихся на территории Камчатского края, предусмотрен</w:t>
      </w:r>
      <w:r>
        <w:rPr>
          <w:rFonts w:ascii="Times New Roman" w:hAnsi="Times New Roman"/>
          <w:sz w:val="28"/>
        </w:rPr>
        <w:t>о финансирование на 2023 год в объеме 7 908,7 млн рублей, в том числе по направлениям: «здравоохранение» – 3 900,0 млн рублей; «морской транспорт» – 1 319,3; «коммунальное строительство» – 532,7 млн рублей; «центральные организации» – 0,1 млн рублей; «возд</w:t>
      </w:r>
      <w:r>
        <w:rPr>
          <w:rFonts w:ascii="Times New Roman" w:hAnsi="Times New Roman"/>
          <w:sz w:val="28"/>
        </w:rPr>
        <w:t>ушный транспорт» – 2 156,6 млн рублей.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краевых инвестиционных мероприятий (объектов) утвержден постановлением Правительства Камчатского края от 28.11.2022 № 612-П «Об утверждении инвестиционной программы Камчатского края на 2023 год и на плановый </w:t>
      </w:r>
      <w:r>
        <w:rPr>
          <w:rFonts w:ascii="Times New Roman" w:hAnsi="Times New Roman"/>
          <w:sz w:val="28"/>
        </w:rPr>
        <w:t>период 2024–2025 годов и прогнозный период 2026–2027 годов» (далее – Инвестиционная программа).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В 2023 году на реализацию инвестиционных мероприятий предусмотрены ассигнования за счет всех источников финансирования в сумме 17 437,9 млн рублей, в том числе </w:t>
      </w:r>
      <w:r>
        <w:rPr>
          <w:rFonts w:ascii="Times New Roman" w:hAnsi="Times New Roman"/>
          <w:sz w:val="28"/>
        </w:rPr>
        <w:t>за счет средств федерального бюджета – 10 608,0 млн рублей (60,8%), краевого бюджета – 6 460,7 млн рублей (37,0%).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Инвестиционной программы ведется строительство значимых для Камчатского края объектов, в том числе: 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строительство камчатской крае</w:t>
      </w:r>
      <w:r>
        <w:rPr>
          <w:rFonts w:ascii="Times New Roman" w:hAnsi="Times New Roman"/>
          <w:sz w:val="28"/>
        </w:rPr>
        <w:t>вой больницы;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строительство подъезда к проектируемому аэровокзалу в г. Елизово от автомобильной дороги А-401 «Подъездная дорога от морского порта Петропавловск-Камчатский к аэропорту Петропавловск-Камчатский на участке 34»;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 строительство автомобильной </w:t>
      </w:r>
      <w:r>
        <w:rPr>
          <w:rFonts w:ascii="Times New Roman" w:hAnsi="Times New Roman"/>
          <w:sz w:val="28"/>
        </w:rPr>
        <w:t>дороги общего пользования регионального значения Камчатского края «п. Термальный – туристский кластер «Три вулкана» протяженностью 32 км (этапы 1–3)»;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строительство комплекса многоквартирных жилых домов в жилом районе Приморский города Вилючинска;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</w:t>
      </w:r>
      <w:r>
        <w:rPr>
          <w:rFonts w:ascii="Times New Roman" w:hAnsi="Times New Roman"/>
          <w:sz w:val="28"/>
        </w:rPr>
        <w:t>строительство детского сада по ул. Вилюйская, 60 в г. Петропавловске-Камчатском на 160 мест;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строительство средней школы № 40 по ул. Вольского микрорайона «Северо-Восток» в г. Петропавловске-Камчатском на 500 мест;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строительство средней общеобразовател</w:t>
      </w:r>
      <w:r>
        <w:rPr>
          <w:rFonts w:ascii="Times New Roman" w:hAnsi="Times New Roman"/>
          <w:sz w:val="28"/>
        </w:rPr>
        <w:t>ьной школы в с. Кавалерское Усть-Большерецкого района на 90 мест;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строительство камчатского театра кукол г. Петропавловск-Камчатский на 350 мест;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реализуется мероприятие «Реконструкция системы водоотведения Елизовского городского поселения. 1 Этап. Рек</w:t>
      </w:r>
      <w:r>
        <w:rPr>
          <w:rFonts w:ascii="Times New Roman" w:hAnsi="Times New Roman"/>
          <w:sz w:val="28"/>
        </w:rPr>
        <w:t>онструкция КОС-29 км, строительство сливной станции»;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ведется строительство инженерной инфраструктуры на территории жилого района в Вулканном городском поселении Елизовского района Камчатского края;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завершены строительно-монтажные работы спортивного за</w:t>
      </w:r>
      <w:r>
        <w:rPr>
          <w:rFonts w:ascii="Times New Roman" w:hAnsi="Times New Roman"/>
          <w:sz w:val="28"/>
        </w:rPr>
        <w:t>ла единоборств в г. Елизово;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реализуется мероприятие регионального проекта «Чистая вода» по реконструкции водовода от водозабора до пгт. Палана и внутриплощадочных сетей водовода территории совхоза пгт. Палана Тигильского муниципального района;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ведется</w:t>
      </w:r>
      <w:r>
        <w:rPr>
          <w:rFonts w:ascii="Times New Roman" w:hAnsi="Times New Roman"/>
          <w:sz w:val="28"/>
        </w:rPr>
        <w:t xml:space="preserve"> реконструкция автомобильной дороги Петропавловск-Камчатский - Мильково 40 км - Пиначево с подъездом к п. Раздольный и к базе с/х Заречный на участке км 1 - км 16,4;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заключен государственный контракт на строительство Автомобильной дороги для резидента ОО</w:t>
      </w:r>
      <w:r>
        <w:rPr>
          <w:rFonts w:ascii="Times New Roman" w:hAnsi="Times New Roman"/>
          <w:sz w:val="28"/>
        </w:rPr>
        <w:t>О «Соколиный центр «Камчатка».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Фактический объем финансирования за отчетный период составил 4 224,7 млн рублей (24,2% от предусмотренного объема), в том числе за счет средств федерального бюджета – 2 826,0 млн рублей (26,6%), за счет средств краевого бюдже</w:t>
      </w:r>
      <w:r>
        <w:rPr>
          <w:rFonts w:ascii="Times New Roman" w:hAnsi="Times New Roman"/>
          <w:sz w:val="28"/>
        </w:rPr>
        <w:t>та – 1 339,1 млн рублей (20,7%).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 состоянию на 01.07.2023 освоение составило 2 682,7 млн рублей (15,4% от предусмотренного объема), в том числе за счет средств федерального бюджета – 1 576,1 млн рублей (14,9%), за счет средств краевого бюджета – 1 057,1 </w:t>
      </w:r>
      <w:r>
        <w:rPr>
          <w:rFonts w:ascii="Times New Roman" w:hAnsi="Times New Roman"/>
          <w:sz w:val="28"/>
        </w:rPr>
        <w:t>млн рублей (16,4%).</w:t>
      </w:r>
    </w:p>
    <w:p w:rsidR="005D3953" w:rsidRDefault="005D395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</w:p>
    <w:p w:rsidR="005D3953" w:rsidRDefault="008A488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ПОТРЕБИТЕЛЬСКИЙ РЫНОК</w:t>
      </w:r>
    </w:p>
    <w:p w:rsidR="005D3953" w:rsidRDefault="008A488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Оборот розничной торговли по всем каналам реализации в 1 полугодии 2023 года составил 43 543,1 млн рублей (96,8% к январю-июню 2022 года в сопоставимых ценах) и на 93,9% сформирован торгующими организациями и инди</w:t>
      </w:r>
      <w:r>
        <w:rPr>
          <w:rFonts w:ascii="Times New Roman" w:hAnsi="Times New Roman"/>
          <w:sz w:val="28"/>
        </w:rPr>
        <w:t>видуальными предпринимателями, осуществляющими деятельность вне рынка.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I полугодии 2023 года в структуре оборота розничной торговли удельный вес пищевых продуктов, включая напитки, и табачных изделий составил 5</w:t>
      </w:r>
      <w:r>
        <w:rPr>
          <w:rFonts w:ascii="Times New Roman" w:hAnsi="Times New Roman"/>
          <w:spacing w:val="-2"/>
          <w:sz w:val="28"/>
        </w:rPr>
        <w:t>8,7%</w:t>
      </w:r>
      <w:r>
        <w:rPr>
          <w:rFonts w:ascii="Times New Roman" w:hAnsi="Times New Roman"/>
          <w:sz w:val="28"/>
        </w:rPr>
        <w:t>, непродовольственных товаров – 41,</w:t>
      </w:r>
      <w:r>
        <w:rPr>
          <w:rFonts w:ascii="Times New Roman" w:hAnsi="Times New Roman"/>
          <w:spacing w:val="-2"/>
          <w:sz w:val="28"/>
        </w:rPr>
        <w:t>3%</w:t>
      </w:r>
      <w:r>
        <w:rPr>
          <w:rFonts w:ascii="Times New Roman" w:hAnsi="Times New Roman"/>
          <w:sz w:val="28"/>
        </w:rPr>
        <w:t xml:space="preserve">. 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число хозяйствующих субъектов, осуществляющих деятельность в сфере торговли, составляет 1 375 единиц, в том числе в розничной торговле – 696 единиц; количество объектов розничной торговли в Камчатском крае составляет 3 413 единиц.</w:t>
      </w:r>
    </w:p>
    <w:p w:rsidR="005D3953" w:rsidRDefault="008A488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202</w:t>
      </w:r>
      <w:r>
        <w:rPr>
          <w:rFonts w:ascii="Times New Roman" w:hAnsi="Times New Roman"/>
          <w:sz w:val="28"/>
        </w:rPr>
        <w:t>2 года оборот розничной торговли, по предварительной оценке, увеличится на 1,0% к предыдущему году и составит 91 683,9 млн рублей.</w:t>
      </w:r>
    </w:p>
    <w:p w:rsidR="005D3953" w:rsidRDefault="008A488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Оборот общественного питания в январе-июне 2023 года составил 4 232,5 млн рублей (98,8% к январю-июню 2022 года в сопоставимы</w:t>
      </w:r>
      <w:r>
        <w:rPr>
          <w:rFonts w:ascii="Times New Roman" w:hAnsi="Times New Roman"/>
          <w:sz w:val="28"/>
        </w:rPr>
        <w:t xml:space="preserve">х ценах).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Платных услуг населению края оказано на 16 863,5 млн рублей (101,8% к январю-июню 2022 года в сопоставимых ценах).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структуре объема платных услуг населению, по-прежнему, преобладают: жилищные, коммунальные, телекоммуникационные и транспортные</w:t>
      </w:r>
      <w:r>
        <w:rPr>
          <w:rFonts w:ascii="Times New Roman" w:hAnsi="Times New Roman"/>
          <w:sz w:val="28"/>
        </w:rPr>
        <w:t xml:space="preserve"> услуги. На их долю пришлось 74,0% общего объема потребляемых услуг. Удельный вес бытовых услуг в общем объеме платных услуг населению составил 5,8%. За январь-июнь 2023 года населению края оказано бытовых услуг на 970,4 млн рублей, что в сопоставимых цена</w:t>
      </w:r>
      <w:r>
        <w:rPr>
          <w:rFonts w:ascii="Times New Roman" w:hAnsi="Times New Roman"/>
          <w:sz w:val="28"/>
        </w:rPr>
        <w:t>х на 0,1% меньше, чем в январе-июне 2022 года.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I полугодия 2023 года отмечается рост по видам платных услуг в сопоставимых ценах: услугам культуры на 8,8%, услугам физической культуры и спорта на 1,9%, туристским услугам на 11,3%, коммунальным ус</w:t>
      </w:r>
      <w:r>
        <w:rPr>
          <w:rFonts w:ascii="Times New Roman" w:hAnsi="Times New Roman"/>
          <w:sz w:val="28"/>
        </w:rPr>
        <w:t xml:space="preserve">лугам на 5,7%, жилищным услугам на 1,4%. Снижение наблюдается по транспортным услугам на 15,6%, юридическим услугам на 12,6%, медицинским услугам на 2,7%, </w:t>
      </w:r>
      <w:bookmarkStart w:id="0" w:name="_GoBack"/>
      <w:bookmarkEnd w:id="0"/>
      <w:r>
        <w:rPr>
          <w:rFonts w:ascii="Times New Roman" w:hAnsi="Times New Roman"/>
          <w:sz w:val="28"/>
        </w:rPr>
        <w:t>услугам специализированных коллективных средствах размещения на 6,1%.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платных услуг в 2023 году оценивается в 32 845,9 млн рублей, или 102,7% в сопоставимых ценах к уровню 2022 года. </w:t>
      </w:r>
    </w:p>
    <w:p w:rsidR="005D3953" w:rsidRDefault="005D39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5D3953" w:rsidRDefault="008A4883">
      <w:pPr>
        <w:keepNext/>
        <w:spacing w:after="0" w:line="240" w:lineRule="auto"/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ДЕМОГРАФИЧЕСКАЯ СИТУАЦИЯ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Демографическая ситуация в Камчатском крае развивается под влиянием сложившейся динамики рождаемости, смертнос</w:t>
      </w:r>
      <w:r>
        <w:rPr>
          <w:rFonts w:ascii="Times New Roman" w:hAnsi="Times New Roman"/>
          <w:sz w:val="28"/>
        </w:rPr>
        <w:t>ти и миграции населения.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01.07.2023 численность населения составила 288,7 тыс. человек, уменьшившись по сравнению с 01.01.2023 на 19 человек за счет естественной убыли населения (-233 человек). Миграционный прирост составил 214 человек.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</w:t>
      </w:r>
      <w:r>
        <w:rPr>
          <w:rFonts w:ascii="Times New Roman" w:hAnsi="Times New Roman"/>
          <w:sz w:val="28"/>
        </w:rPr>
        <w:t xml:space="preserve">илось 1 453 малышей (95,9% к I полугодию 2022 года). Коэффициент рождаемости составил 10,2 промилле (за I полугодие 2022 года – 10,5). Умерло 1 686 человек (86,5% к I полугодию 2022 года). Коэффициент смертности составил 11,8 промилле (за I полугодие 2022 </w:t>
      </w:r>
      <w:r>
        <w:rPr>
          <w:rFonts w:ascii="Times New Roman" w:hAnsi="Times New Roman"/>
          <w:sz w:val="28"/>
        </w:rPr>
        <w:t>года – 13,5).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Число прибывших в результате миграционного обмена населением составило 5 797 человек (96,2% к январю-июню 2022 года).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Число выбывших составило 5 583 человека или 68,6% относительно января-июня 2022 года. 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миграционный оборот (сумма при</w:t>
      </w:r>
      <w:r>
        <w:rPr>
          <w:rFonts w:ascii="Times New Roman" w:hAnsi="Times New Roman"/>
          <w:sz w:val="28"/>
        </w:rPr>
        <w:t>бытий и выбытий) составил 11 380 человек, коэффициент миграционного прироста – 17,9 промилле.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оценке, среднегодовая численность постоянного населения Камчатского края в 2023 году составит 289,3 тыс. человек или 99,5% от уровня 2022 года.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Коэффициент рождаемости по итогам 2023 года оценивается в 9,7 промилле, коэффициент смертности – 11,5 промилле. Коэффициент естественной убыли составит -4,6 промилле. Коэффициент миграционной убыли составит в 2023 году -1,8 промилле. </w:t>
      </w:r>
    </w:p>
    <w:p w:rsidR="005D3953" w:rsidRDefault="005D3953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</w:rPr>
      </w:pPr>
    </w:p>
    <w:p w:rsidR="005D3953" w:rsidRDefault="008A4883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Труд, ДЕНЕЖНЫЕ ДОХОД</w:t>
      </w:r>
      <w:r>
        <w:rPr>
          <w:rFonts w:ascii="Times New Roman" w:hAnsi="Times New Roman"/>
          <w:b/>
          <w:caps/>
          <w:sz w:val="28"/>
        </w:rPr>
        <w:t>Ы И РАСХОДЫ НАСЕЛЕНИЯ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занятых в экономике составила 162,0 тыс. человек или 93,9% относительно января-июня 2022 года. Численность занятых в экономике по полному кругу предприятий за январь-июнь 2023 года, по оценке, составила 175,0 тыс. человек </w:t>
      </w:r>
      <w:r>
        <w:rPr>
          <w:rFonts w:ascii="Times New Roman" w:hAnsi="Times New Roman"/>
          <w:sz w:val="28"/>
        </w:rPr>
        <w:t>(100,6% к январь-июню 2022 года).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официально зарегистрированных безработных по состоянию на 01.07.2023 составила 1,2 тыс. человек. Уровень регистрируемой безработицы – 0,7%. Напряженность на рынке труда на 01.07.2023 составила 0,2 человека на 1</w:t>
      </w:r>
      <w:r>
        <w:rPr>
          <w:rFonts w:ascii="Times New Roman" w:hAnsi="Times New Roman"/>
          <w:sz w:val="28"/>
        </w:rPr>
        <w:t> заявленную работодателями вакансию.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безработных, рассчитанная по методологии МОТ, составила 3,3 тыс. человек (49,3% к январю-июню 2022 года).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занятого в экономике населения в 2023 году, по оценке, составит 170,1 тыс. человек. Числе</w:t>
      </w:r>
      <w:r>
        <w:rPr>
          <w:rFonts w:ascii="Times New Roman" w:hAnsi="Times New Roman"/>
          <w:sz w:val="28"/>
        </w:rPr>
        <w:t xml:space="preserve">нность безработных, рассчитанная по методике МОТ, по оценке в 2023 году составит 4,5 тыс. человек, что на 13,5% ниже уровня 2022 года, в численности рабочей силы доля безработных по методике МОТ составит 2,5%.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рабочей силы оценивается на уровн</w:t>
      </w:r>
      <w:r>
        <w:rPr>
          <w:rFonts w:ascii="Times New Roman" w:hAnsi="Times New Roman"/>
          <w:sz w:val="28"/>
        </w:rPr>
        <w:t xml:space="preserve">е 180,9 тыс. человек, что составит 100,2% уровня 2022 года. </w:t>
      </w:r>
    </w:p>
    <w:p w:rsidR="005D3953" w:rsidRDefault="008A48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официально зарегистрированной безработицы в 2023 году оценивается на уровне 1,8% (в 2022 году – 1,8%).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Среднемесячная номинальная начисленная заработная плата одного работника в январе-ию</w:t>
      </w:r>
      <w:r>
        <w:rPr>
          <w:rFonts w:ascii="Times New Roman" w:hAnsi="Times New Roman"/>
          <w:sz w:val="28"/>
        </w:rPr>
        <w:t xml:space="preserve">не 2023 года составила 109 622,4 рублей (104,4% к январю-июню 2022 года). Отмечено снижение реальной начисленной заработной платы на 3,4% к январю-июню 2022 года. </w:t>
      </w:r>
    </w:p>
    <w:p w:rsidR="005D3953" w:rsidRDefault="008A4883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01.07.2023 просроченная задолженность по заработной плате составила 2,5 млн рублей. </w:t>
      </w:r>
      <w:r>
        <w:rPr>
          <w:rFonts w:ascii="Times New Roman" w:hAnsi="Times New Roman"/>
          <w:sz w:val="28"/>
        </w:rPr>
        <w:t>Задолженность на 100% образована из-за отсутствия у предприятий собственных средств. Ситуация с погашением задолженности по заработной плате находится на постоянном контроле Правительства Камчатского края.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Реальные располагаемые денежные доходы сложились н</w:t>
      </w:r>
      <w:r>
        <w:rPr>
          <w:rFonts w:ascii="Times New Roman" w:hAnsi="Times New Roman"/>
          <w:sz w:val="28"/>
        </w:rPr>
        <w:t xml:space="preserve">а уровне 99,2% к уровню января-июня 2022 года. </w:t>
      </w:r>
    </w:p>
    <w:p w:rsidR="005D3953" w:rsidRDefault="008A4883">
      <w:pPr>
        <w:widowControl w:val="0"/>
        <w:spacing w:after="0" w:line="240" w:lineRule="auto"/>
        <w:ind w:right="-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 среднедушевого дохода составил 70 163,0 рубля, что составляет 108,1% относительно января-июня 2022 года.</w:t>
      </w:r>
    </w:p>
    <w:p w:rsidR="005D3953" w:rsidRDefault="008A4883">
      <w:pPr>
        <w:widowControl w:val="0"/>
        <w:spacing w:after="0" w:line="240" w:lineRule="auto"/>
        <w:ind w:right="-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Соотношение среднедушевого денежного дохода с величиной прожиточного минимума всего населения оп</w:t>
      </w:r>
      <w:r>
        <w:rPr>
          <w:rFonts w:ascii="Times New Roman" w:hAnsi="Times New Roman"/>
          <w:sz w:val="28"/>
        </w:rPr>
        <w:t>ределяется значением 265,8%.</w:t>
      </w:r>
    </w:p>
    <w:p w:rsidR="005D3953" w:rsidRDefault="008A4883">
      <w:pPr>
        <w:widowControl w:val="0"/>
        <w:spacing w:after="0" w:line="240" w:lineRule="auto"/>
        <w:ind w:right="-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Потребительские расходы сложились в размере 49 939,0 рублей в среднем на душу населения, увеличившись относительно января-июня 2022 года на 6,0%. На цели потребления населением направлено 71,2% среднедушевого дохода. </w:t>
      </w:r>
    </w:p>
    <w:p w:rsidR="005D3953" w:rsidRDefault="008A488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</w:t>
      </w:r>
      <w:r>
        <w:rPr>
          <w:rFonts w:ascii="Times New Roman" w:hAnsi="Times New Roman"/>
          <w:sz w:val="28"/>
        </w:rPr>
        <w:t>ением Правительства Камчатского края от 30.12.2022 № 759-П «Об установлении величины прожиточного минимума на душу населения и по основным социально-демографическим группам населения в Камчатском крае на 2023 год» величина прожиточного минимума на 2023 год</w:t>
      </w:r>
      <w:r>
        <w:rPr>
          <w:rFonts w:ascii="Times New Roman" w:hAnsi="Times New Roman"/>
          <w:sz w:val="28"/>
        </w:rPr>
        <w:t xml:space="preserve"> установлена в размере 26 388 рублей (для трудоспособного населения – 28 763 рубля, пенсионеров – 22 694 рубля, детей – 28 105 рублей). </w:t>
      </w:r>
    </w:p>
    <w:p w:rsidR="005D3953" w:rsidRDefault="008A4883">
      <w:pPr>
        <w:widowControl w:val="0"/>
        <w:spacing w:after="0" w:line="240" w:lineRule="auto"/>
        <w:ind w:right="-14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среднегодовая начисленная заработная плата в среднем по региону составит 112 847,2 рубля. Реальные располаг</w:t>
      </w:r>
      <w:r>
        <w:rPr>
          <w:rFonts w:ascii="Times New Roman" w:hAnsi="Times New Roman"/>
          <w:sz w:val="28"/>
        </w:rPr>
        <w:t xml:space="preserve">аемые денежные доходы населения составят 102,5% относительно предыдущего года, реальная заработная плата – 103,8%. </w:t>
      </w:r>
    </w:p>
    <w:p w:rsidR="005D3953" w:rsidRDefault="005D3953">
      <w:pPr>
        <w:keepNext/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</w:p>
    <w:p w:rsidR="005D3953" w:rsidRDefault="005D39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sectPr w:rsidR="005D3953">
      <w:headerReference w:type="default" r:id="rId6"/>
      <w:pgSz w:w="11906" w:h="16838"/>
      <w:pgMar w:top="851" w:right="624" w:bottom="851" w:left="1418" w:header="709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A4883">
      <w:pPr>
        <w:spacing w:after="0" w:line="240" w:lineRule="auto"/>
      </w:pPr>
      <w:r>
        <w:separator/>
      </w:r>
    </w:p>
  </w:endnote>
  <w:endnote w:type="continuationSeparator" w:id="0">
    <w:p w:rsidR="00000000" w:rsidRDefault="008A4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A4883">
      <w:pPr>
        <w:spacing w:after="0" w:line="240" w:lineRule="auto"/>
      </w:pPr>
      <w:r>
        <w:separator/>
      </w:r>
    </w:p>
  </w:footnote>
  <w:footnote w:type="continuationSeparator" w:id="0">
    <w:p w:rsidR="00000000" w:rsidRDefault="008A4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349369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539B4" w:rsidRPr="00F539B4" w:rsidRDefault="00F539B4">
        <w:pPr>
          <w:pStyle w:val="ab"/>
          <w:jc w:val="center"/>
          <w:rPr>
            <w:sz w:val="22"/>
            <w:szCs w:val="22"/>
          </w:rPr>
        </w:pPr>
        <w:r w:rsidRPr="00F539B4">
          <w:rPr>
            <w:sz w:val="22"/>
            <w:szCs w:val="22"/>
          </w:rPr>
          <w:fldChar w:fldCharType="begin"/>
        </w:r>
        <w:r w:rsidRPr="00F539B4">
          <w:rPr>
            <w:sz w:val="22"/>
            <w:szCs w:val="22"/>
          </w:rPr>
          <w:instrText>PAGE   \* MERGEFORMAT</w:instrText>
        </w:r>
        <w:r w:rsidRPr="00F539B4">
          <w:rPr>
            <w:sz w:val="22"/>
            <w:szCs w:val="22"/>
          </w:rPr>
          <w:fldChar w:fldCharType="separate"/>
        </w:r>
        <w:r w:rsidR="008A4883">
          <w:rPr>
            <w:noProof/>
            <w:sz w:val="22"/>
            <w:szCs w:val="22"/>
          </w:rPr>
          <w:t>2</w:t>
        </w:r>
        <w:r w:rsidRPr="00F539B4">
          <w:rPr>
            <w:sz w:val="22"/>
            <w:szCs w:val="22"/>
          </w:rPr>
          <w:fldChar w:fldCharType="end"/>
        </w:r>
      </w:p>
    </w:sdtContent>
  </w:sdt>
  <w:p w:rsidR="005D3953" w:rsidRDefault="005D3953">
    <w:pPr>
      <w:pStyle w:val="ab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953"/>
    <w:rsid w:val="005C691E"/>
    <w:rsid w:val="005D3953"/>
    <w:rsid w:val="008A4883"/>
    <w:rsid w:val="008A6248"/>
    <w:rsid w:val="00F5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2707"/>
  <w15:docId w15:val="{76EFC248-BA46-41CE-AADE-C70C1AC1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 w:line="276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link w:val="30"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pacing w:val="0"/>
      <w:sz w:val="22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spacing w:after="200" w:line="276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styleId="a3">
    <w:name w:val="Title"/>
    <w:link w:val="a4"/>
    <w:uiPriority w:val="10"/>
    <w:qFormat/>
    <w:rPr>
      <w:rFonts w:ascii="XO Thames" w:hAnsi="XO Thames"/>
      <w:b/>
      <w:caps/>
      <w:sz w:val="40"/>
    </w:rPr>
  </w:style>
  <w:style w:type="character" w:customStyle="1" w:styleId="12">
    <w:name w:val="Заголовок1"/>
    <w:rPr>
      <w:rFonts w:ascii="XO Thames" w:hAnsi="XO Thames"/>
      <w:b/>
      <w:caps/>
      <w:color w:val="000000"/>
      <w:spacing w:val="0"/>
      <w:sz w:val="40"/>
    </w:rPr>
  </w:style>
  <w:style w:type="paragraph" w:styleId="41">
    <w:name w:val="toc 4"/>
    <w:next w:val="a"/>
    <w:link w:val="42"/>
    <w:uiPriority w:val="39"/>
    <w:pPr>
      <w:spacing w:after="200" w:line="276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spacing w:after="200" w:line="276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paragraph" w:styleId="a5">
    <w:name w:val="List"/>
    <w:basedOn w:val="a6"/>
    <w:link w:val="a7"/>
  </w:style>
  <w:style w:type="character" w:customStyle="1" w:styleId="a7">
    <w:name w:val="Список Знак"/>
    <w:basedOn w:val="a8"/>
    <w:link w:val="a5"/>
    <w:rPr>
      <w:rFonts w:asciiTheme="minorHAnsi" w:hAnsiTheme="minorHAnsi"/>
      <w:color w:val="000000"/>
      <w:spacing w:val="0"/>
      <w:sz w:val="22"/>
    </w:rPr>
  </w:style>
  <w:style w:type="paragraph" w:styleId="7">
    <w:name w:val="toc 7"/>
    <w:next w:val="a"/>
    <w:link w:val="70"/>
    <w:uiPriority w:val="39"/>
    <w:pPr>
      <w:spacing w:after="200" w:line="276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customStyle="1" w:styleId="a9">
    <w:name w:val="Колонтитул"/>
    <w:link w:val="aa"/>
    <w:pPr>
      <w:spacing w:after="200"/>
      <w:jc w:val="both"/>
    </w:pPr>
    <w:rPr>
      <w:rFonts w:ascii="XO Thames" w:hAnsi="XO Thames"/>
      <w:sz w:val="20"/>
    </w:rPr>
  </w:style>
  <w:style w:type="character" w:customStyle="1" w:styleId="aa">
    <w:name w:val="Колонтитул"/>
    <w:link w:val="a9"/>
    <w:rPr>
      <w:rFonts w:ascii="XO Thames" w:hAnsi="XO Thames"/>
      <w:color w:val="000000"/>
      <w:spacing w:val="0"/>
      <w:sz w:val="20"/>
    </w:rPr>
  </w:style>
  <w:style w:type="character" w:customStyle="1" w:styleId="31">
    <w:name w:val="Заголовок 31"/>
    <w:rPr>
      <w:rFonts w:ascii="XO Thames" w:hAnsi="XO Thames"/>
      <w:b/>
      <w:color w:val="000000"/>
      <w:spacing w:val="0"/>
      <w:sz w:val="26"/>
    </w:rPr>
  </w:style>
  <w:style w:type="paragraph" w:styleId="ab">
    <w:name w:val="header"/>
    <w:link w:val="ac"/>
    <w:uiPriority w:val="99"/>
    <w:rPr>
      <w:rFonts w:ascii="Times New Roman" w:hAnsi="Times New Roman"/>
      <w:sz w:val="20"/>
    </w:rPr>
  </w:style>
  <w:style w:type="character" w:customStyle="1" w:styleId="13">
    <w:name w:val="Верхний колонтитул1"/>
    <w:basedOn w:val="1"/>
    <w:rPr>
      <w:rFonts w:ascii="Times New Roman" w:hAnsi="Times New Roman"/>
      <w:color w:val="000000"/>
      <w:spacing w:val="0"/>
      <w:sz w:val="20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14">
    <w:name w:val="Номер страницы1"/>
    <w:basedOn w:val="15"/>
    <w:link w:val="ad"/>
  </w:style>
  <w:style w:type="character" w:styleId="ad">
    <w:name w:val="page number"/>
    <w:basedOn w:val="a0"/>
    <w:link w:val="14"/>
  </w:style>
  <w:style w:type="character" w:customStyle="1" w:styleId="51">
    <w:name w:val="Заголовок 51"/>
    <w:rPr>
      <w:rFonts w:ascii="XO Thames" w:hAnsi="XO Thames"/>
      <w:b/>
      <w:sz w:val="22"/>
    </w:rPr>
  </w:style>
  <w:style w:type="paragraph" w:styleId="a6">
    <w:name w:val="Body Text"/>
    <w:basedOn w:val="a"/>
    <w:link w:val="a8"/>
    <w:pPr>
      <w:spacing w:after="140"/>
    </w:pPr>
  </w:style>
  <w:style w:type="character" w:customStyle="1" w:styleId="a8">
    <w:name w:val="Основной текст Знак"/>
    <w:basedOn w:val="1"/>
    <w:link w:val="a6"/>
    <w:rPr>
      <w:rFonts w:asciiTheme="minorHAnsi" w:hAnsiTheme="minorHAnsi"/>
      <w:color w:val="000000"/>
      <w:spacing w:val="0"/>
      <w:sz w:val="22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character" w:customStyle="1" w:styleId="ac">
    <w:name w:val="Верхний колонтитул Знак"/>
    <w:link w:val="ab"/>
    <w:uiPriority w:val="99"/>
    <w:rPr>
      <w:rFonts w:ascii="Times New Roman" w:hAnsi="Times New Roman"/>
      <w:sz w:val="20"/>
    </w:rPr>
  </w:style>
  <w:style w:type="paragraph" w:styleId="32">
    <w:name w:val="toc 3"/>
    <w:next w:val="a"/>
    <w:link w:val="33"/>
    <w:uiPriority w:val="39"/>
    <w:pPr>
      <w:spacing w:after="200" w:line="276" w:lineRule="auto"/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character" w:customStyle="1" w:styleId="23">
    <w:name w:val="Заголовок2"/>
    <w:basedOn w:val="1"/>
    <w:rPr>
      <w:rFonts w:ascii="Open Sans" w:hAnsi="Open Sans"/>
      <w:color w:val="000000"/>
      <w:spacing w:val="0"/>
      <w:sz w:val="28"/>
    </w:rPr>
  </w:style>
  <w:style w:type="character" w:customStyle="1" w:styleId="110">
    <w:name w:val="Заголовок 11"/>
    <w:rPr>
      <w:rFonts w:ascii="XO Thames" w:hAnsi="XO Thames"/>
      <w:b/>
      <w:sz w:val="32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styleId="ae">
    <w:name w:val="index heading"/>
    <w:basedOn w:val="a"/>
    <w:link w:val="af"/>
  </w:style>
  <w:style w:type="character" w:customStyle="1" w:styleId="af">
    <w:name w:val="Указатель Знак"/>
    <w:basedOn w:val="1"/>
    <w:link w:val="ae"/>
    <w:rPr>
      <w:rFonts w:asciiTheme="minorHAnsi" w:hAnsiTheme="minorHAnsi"/>
      <w:color w:val="000000"/>
      <w:spacing w:val="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pacing w:val="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color w:val="000000"/>
      <w:spacing w:val="0"/>
      <w:sz w:val="32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16">
    <w:name w:val="Гиперссылка1"/>
    <w:link w:val="af0"/>
    <w:rPr>
      <w:color w:val="0000FF"/>
      <w:u w:val="single"/>
    </w:rPr>
  </w:style>
  <w:style w:type="character" w:styleId="af0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spacing w:after="200" w:line="276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styleId="17">
    <w:name w:val="toc 1"/>
    <w:next w:val="a"/>
    <w:link w:val="18"/>
    <w:uiPriority w:val="39"/>
    <w:pPr>
      <w:spacing w:after="200" w:line="276" w:lineRule="auto"/>
    </w:pPr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color w:val="000000"/>
      <w:spacing w:val="0"/>
      <w:sz w:val="28"/>
    </w:rPr>
  </w:style>
  <w:style w:type="paragraph" w:styleId="af1">
    <w:name w:val="Subtitle"/>
    <w:link w:val="af2"/>
    <w:uiPriority w:val="11"/>
    <w:qFormat/>
    <w:rPr>
      <w:rFonts w:ascii="XO Thames" w:hAnsi="XO Thames"/>
      <w:i/>
      <w:sz w:val="24"/>
    </w:rPr>
  </w:style>
  <w:style w:type="character" w:customStyle="1" w:styleId="19">
    <w:name w:val="Подзаголовок1"/>
    <w:rPr>
      <w:rFonts w:ascii="XO Thames" w:hAnsi="XO Thames"/>
      <w:i/>
      <w:color w:val="000000"/>
      <w:spacing w:val="0"/>
      <w:sz w:val="24"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spacing w:after="200" w:line="276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paragraph" w:customStyle="1" w:styleId="af3">
    <w:name w:val="Содержимое врезки"/>
    <w:basedOn w:val="a"/>
    <w:link w:val="af4"/>
  </w:style>
  <w:style w:type="character" w:customStyle="1" w:styleId="af4">
    <w:name w:val="Содержимое врезки"/>
    <w:basedOn w:val="1"/>
    <w:link w:val="af3"/>
    <w:rPr>
      <w:rFonts w:asciiTheme="minorHAnsi" w:hAnsiTheme="minorHAnsi"/>
      <w:color w:val="000000"/>
      <w:spacing w:val="0"/>
      <w:sz w:val="22"/>
    </w:rPr>
  </w:style>
  <w:style w:type="paragraph" w:styleId="af5">
    <w:name w:val="Balloon Text"/>
    <w:basedOn w:val="a"/>
    <w:link w:val="af6"/>
    <w:pPr>
      <w:spacing w:after="0" w:line="240" w:lineRule="auto"/>
    </w:pPr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Pr>
      <w:rFonts w:ascii="Tahoma" w:hAnsi="Tahoma"/>
      <w:color w:val="000000"/>
      <w:spacing w:val="0"/>
      <w:sz w:val="16"/>
    </w:rPr>
  </w:style>
  <w:style w:type="paragraph" w:styleId="8">
    <w:name w:val="toc 8"/>
    <w:next w:val="a"/>
    <w:link w:val="80"/>
    <w:uiPriority w:val="39"/>
    <w:pPr>
      <w:spacing w:after="200" w:line="276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character" w:customStyle="1" w:styleId="210">
    <w:name w:val="Заголовок 21"/>
    <w:rPr>
      <w:rFonts w:ascii="XO Thames" w:hAnsi="XO Thames"/>
      <w:b/>
      <w:sz w:val="28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spacing w:after="200" w:line="276" w:lineRule="auto"/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7">
    <w:name w:val="caption"/>
    <w:basedOn w:val="a"/>
    <w:link w:val="af8"/>
    <w:pPr>
      <w:spacing w:before="120" w:after="120"/>
    </w:pPr>
    <w:rPr>
      <w:i/>
      <w:sz w:val="24"/>
    </w:rPr>
  </w:style>
  <w:style w:type="character" w:customStyle="1" w:styleId="af8">
    <w:name w:val="Название объекта Знак"/>
    <w:basedOn w:val="1"/>
    <w:link w:val="af7"/>
    <w:rPr>
      <w:rFonts w:asciiTheme="minorHAnsi" w:hAnsiTheme="minorHAnsi"/>
      <w:i/>
      <w:color w:val="000000"/>
      <w:spacing w:val="0"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customStyle="1" w:styleId="Internetlink">
    <w:name w:val="Internet link"/>
    <w:link w:val="Internetlink0"/>
    <w:pPr>
      <w:spacing w:after="200" w:line="276" w:lineRule="auto"/>
    </w:pPr>
    <w:rPr>
      <w:rFonts w:ascii="Calibri" w:hAnsi="Calibri"/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spacing w:val="0"/>
      <w:sz w:val="22"/>
      <w:u w:val="single"/>
    </w:rPr>
  </w:style>
  <w:style w:type="character" w:customStyle="1" w:styleId="a4">
    <w:name w:val="Заголовок Знак"/>
    <w:link w:val="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15">
    <w:name w:val="Основной шрифт абзаца1"/>
    <w:link w:val="2"/>
    <w:pPr>
      <w:spacing w:after="200" w:line="276" w:lineRule="auto"/>
    </w:p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pacing w:val="0"/>
      <w:sz w:val="28"/>
    </w:rPr>
  </w:style>
  <w:style w:type="paragraph" w:styleId="af9">
    <w:name w:val="footer"/>
    <w:basedOn w:val="a"/>
    <w:link w:val="afa"/>
    <w:uiPriority w:val="99"/>
    <w:unhideWhenUsed/>
    <w:rsid w:val="00F53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F53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3648</Words>
  <Characters>20795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Ахметшина Ирина Викторовна</cp:lastModifiedBy>
  <cp:revision>4</cp:revision>
  <dcterms:created xsi:type="dcterms:W3CDTF">2023-10-15T22:10:00Z</dcterms:created>
  <dcterms:modified xsi:type="dcterms:W3CDTF">2023-10-15T22:14:00Z</dcterms:modified>
</cp:coreProperties>
</file>