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before="74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Проект изменений</w:t>
      </w:r>
    </w:p>
    <w:p w14:paraId="02000000">
      <w:pPr>
        <w:spacing w:before="74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ПАСПОРТ</w:t>
      </w:r>
    </w:p>
    <w:p w14:paraId="03000000">
      <w:pPr>
        <w:spacing w:before="74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Государственной программы</w:t>
      </w:r>
    </w:p>
    <w:p w14:paraId="04000000">
      <w:pPr>
        <w:spacing w:before="74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«Управление государственными финансами Камчатского края»</w:t>
      </w:r>
    </w:p>
    <w:p w14:paraId="05000000">
      <w:pPr>
        <w:spacing w:before="74"/>
        <w:ind/>
        <w:jc w:val="center"/>
        <w:rPr>
          <w:rFonts w:ascii="Times New Roman" w:hAnsi="Times New Roman"/>
          <w:color w:val="000000"/>
        </w:rPr>
      </w:pPr>
    </w:p>
    <w:p w14:paraId="06000000">
      <w:pPr>
        <w:spacing w:before="74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 Основные положения</w:t>
      </w:r>
    </w:p>
    <w:p w14:paraId="07000000">
      <w:pPr>
        <w:spacing w:before="74"/>
        <w:ind/>
        <w:jc w:val="center"/>
        <w:rPr>
          <w:rFonts w:ascii="Times New Roman" w:hAnsi="Times New Roman"/>
          <w:color w:val="000000"/>
        </w:rPr>
      </w:pPr>
    </w:p>
    <w:tbl>
      <w:tblPr>
        <w:tblStyle w:val="Style_1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7711"/>
        <w:gridCol w:w="7984"/>
      </w:tblGrid>
      <w:tr>
        <w:trPr>
          <w:tblHeader/>
        </w:trPr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00000">
            <w:pPr>
              <w:pStyle w:val="Style_2"/>
              <w:ind/>
              <w:jc w:val="both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Куратор государственной программы</w:t>
            </w:r>
          </w:p>
        </w:tc>
        <w:tc>
          <w:tcPr>
            <w:tcW w:type="dxa" w:w="7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00000">
            <w:pPr>
              <w:pStyle w:val="Style_2"/>
              <w:ind/>
              <w:jc w:val="both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Чекин Евгений Алексеевич - Председатель Правительства Камчатского края</w:t>
            </w:r>
          </w:p>
        </w:tc>
      </w:tr>
      <w:tr>
        <w:tc>
          <w:tcPr>
            <w:tcW w:type="dxa" w:w="771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00000">
            <w:pPr>
              <w:pStyle w:val="Style_3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Ответственный исполнитель государственной программы</w:t>
            </w:r>
          </w:p>
        </w:tc>
        <w:tc>
          <w:tcPr>
            <w:tcW w:type="dxa" w:w="798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00000">
            <w:pPr>
              <w:pStyle w:val="Style_3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Бутылин Александр Николаевич - Министр финансов Камчатского края</w:t>
            </w:r>
          </w:p>
        </w:tc>
      </w:tr>
    </w:tbl>
    <w:p w14:paraId="0C000000">
      <w:pPr>
        <w:spacing w:before="74"/>
        <w:ind/>
        <w:jc w:val="center"/>
        <w:rPr>
          <w:rFonts w:ascii="Times New Roman" w:hAnsi="Times New Roman"/>
          <w:color w:val="000000"/>
        </w:rPr>
      </w:pPr>
    </w:p>
    <w:tbl>
      <w:tblPr>
        <w:tblStyle w:val="Style_1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7725"/>
        <w:gridCol w:w="7969"/>
      </w:tblGrid>
      <w:tr>
        <w:tc>
          <w:tcPr>
            <w:tcW w:type="dxa" w:w="772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00000">
            <w:pPr>
              <w:widowControl w:val="0"/>
              <w:spacing w:before="74"/>
              <w:ind w:firstLine="0" w:left="113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Период реализации государственной программы</w:t>
            </w:r>
          </w:p>
        </w:tc>
        <w:tc>
          <w:tcPr>
            <w:tcW w:type="dxa" w:w="7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00000">
            <w:pPr>
              <w:pStyle w:val="Style_3"/>
              <w:spacing w:before="74"/>
              <w:ind w:right="5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Этап I: 2014 - 2023</w:t>
            </w:r>
          </w:p>
          <w:p w14:paraId="0F000000">
            <w:pPr>
              <w:pStyle w:val="Style_3"/>
              <w:spacing w:before="74"/>
              <w:ind w:right="5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Этап II: 2024 - 2030</w:t>
            </w:r>
          </w:p>
        </w:tc>
      </w:tr>
      <w:tr>
        <w:tc>
          <w:tcPr>
            <w:tcW w:type="dxa" w:w="7725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00000">
            <w:pPr>
              <w:pStyle w:val="Style_3"/>
              <w:spacing w:before="74"/>
              <w:ind w:firstLine="0" w:left="113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Цели государственной программы</w:t>
            </w:r>
          </w:p>
        </w:tc>
        <w:tc>
          <w:tcPr>
            <w:tcW w:type="dxa" w:w="796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00000">
            <w:pPr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Обеспечение </w:t>
            </w:r>
            <w:r>
              <w:rPr>
                <w:rFonts w:ascii="Times New Roman" w:hAnsi="Times New Roman"/>
                <w:color w:val="000000"/>
              </w:rPr>
              <w:t>долгосрочной сбалансированности и устойчивости краевого бюджета и местных бюджетов</w:t>
            </w:r>
          </w:p>
        </w:tc>
      </w:tr>
      <w:tr>
        <w:tc>
          <w:tcPr>
            <w:tcW w:type="dxa" w:w="77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00000">
            <w:pPr>
              <w:pStyle w:val="Style_3"/>
              <w:spacing w:before="74"/>
              <w:ind w:firstLine="0" w:left="113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Направления (подпрограммы) государственной  программы</w:t>
            </w:r>
          </w:p>
        </w:tc>
        <w:tc>
          <w:tcPr>
            <w:tcW w:type="dxa" w:w="796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00000">
            <w:pPr>
              <w:pStyle w:val="Style_3"/>
              <w:spacing w:before="74"/>
              <w:ind w:right="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Направление (подпрограмма) 1 «Совершенствование управления государственными финансами, повышение открытости и прозр</w:t>
            </w:r>
            <w:r>
              <w:rPr>
                <w:rFonts w:ascii="Times New Roman" w:hAnsi="Times New Roman"/>
                <w:color w:val="000000"/>
              </w:rPr>
              <w:t>ачности бюджетного процесса в Камчатском крае»</w:t>
            </w:r>
          </w:p>
          <w:p w14:paraId="14000000">
            <w:pPr>
              <w:pStyle w:val="Style_3"/>
              <w:spacing w:before="74"/>
              <w:ind w:right="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Направление (подпрограмма) 2 «Управление государственным долгом Камчатского края, средствами резервных фондов и резервами ассигнований»</w:t>
            </w:r>
          </w:p>
          <w:p w14:paraId="15000000">
            <w:pPr>
              <w:pStyle w:val="Style_3"/>
              <w:spacing w:before="74"/>
              <w:ind w:right="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Направление (подпрограмма) 3 «Создание условий для эффективного и ответст</w:t>
            </w:r>
            <w:r>
              <w:rPr>
                <w:rFonts w:ascii="Times New Roman" w:hAnsi="Times New Roman"/>
                <w:color w:val="000000"/>
              </w:rPr>
              <w:t>венного управления муниципальными финансами, повышения устойчивости местных бюджетов»</w:t>
            </w:r>
          </w:p>
          <w:p w14:paraId="16000000">
            <w:pPr>
              <w:pStyle w:val="Style_3"/>
              <w:spacing w:before="74"/>
              <w:ind w:right="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Направление (подпрограмма) 4 «Обеспечение реализации государственной программы»</w:t>
            </w:r>
          </w:p>
        </w:tc>
      </w:tr>
      <w:tr>
        <w:tc>
          <w:tcPr>
            <w:tcW w:type="dxa" w:w="77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00000">
            <w:pPr>
              <w:pStyle w:val="Style_3"/>
              <w:spacing w:before="74"/>
              <w:ind w:firstLine="0" w:left="113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Объемы финансового обеспечения за весь период реализации</w:t>
            </w:r>
          </w:p>
        </w:tc>
        <w:tc>
          <w:tcPr>
            <w:tcW w:type="dxa" w:w="796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8000000">
            <w:pPr>
              <w:spacing w:before="15"/>
              <w:ind w:hanging="15" w:left="15" w:right="15"/>
              <w:jc w:val="center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/>
              </w:rPr>
              <w:t>133 084 102,28789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тыс. рублей</w:t>
            </w:r>
          </w:p>
        </w:tc>
      </w:tr>
      <w:tr>
        <w:trPr>
          <w:trHeight w:hRule="atLeast" w:val="603"/>
        </w:trPr>
        <w:tc>
          <w:tcPr>
            <w:tcW w:type="dxa" w:w="772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00000">
            <w:pPr>
              <w:pStyle w:val="Style_3"/>
              <w:spacing w:before="74"/>
              <w:ind w:firstLine="0" w:left="113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type="dxa" w:w="796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A000000">
            <w:pPr>
              <w:pStyle w:val="Style_3"/>
              <w:spacing w:before="74"/>
              <w:ind w:firstLine="0" w:left="170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</w:tbl>
    <w:p w14:paraId="1B000000">
      <w:pPr>
        <w:spacing w:before="74"/>
        <w:ind/>
        <w:jc w:val="center"/>
        <w:rPr>
          <w:rFonts w:ascii="Times New Roman" w:hAnsi="Times New Roman"/>
          <w:color w:val="000000"/>
        </w:rPr>
      </w:pPr>
    </w:p>
    <w:p w14:paraId="1C000000">
      <w:pPr>
        <w:spacing w:before="74"/>
        <w:ind/>
        <w:jc w:val="center"/>
        <w:rPr>
          <w:rFonts w:ascii="Times New Roman" w:hAnsi="Times New Roman"/>
          <w:color w:val="000000"/>
        </w:rPr>
      </w:pPr>
    </w:p>
    <w:p w14:paraId="1D000000">
      <w:pPr>
        <w:spacing w:before="74"/>
        <w:ind/>
        <w:jc w:val="center"/>
        <w:rPr>
          <w:rFonts w:ascii="Times New Roman" w:hAnsi="Times New Roman"/>
          <w:color w:val="000000"/>
        </w:rPr>
      </w:pPr>
    </w:p>
    <w:p w14:paraId="1E000000">
      <w:pPr>
        <w:spacing w:before="74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 Показатели государственной программы</w:t>
      </w:r>
    </w:p>
    <w:tbl>
      <w:tblPr>
        <w:tblStyle w:val="Style_1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561"/>
        <w:gridCol w:w="1491"/>
        <w:gridCol w:w="1068"/>
        <w:gridCol w:w="1186"/>
        <w:gridCol w:w="859"/>
        <w:gridCol w:w="756"/>
        <w:gridCol w:w="618"/>
        <w:gridCol w:w="543"/>
        <w:gridCol w:w="516"/>
        <w:gridCol w:w="516"/>
        <w:gridCol w:w="528"/>
        <w:gridCol w:w="528"/>
        <w:gridCol w:w="540"/>
        <w:gridCol w:w="539"/>
        <w:gridCol w:w="1346"/>
        <w:gridCol w:w="1110"/>
        <w:gridCol w:w="906"/>
        <w:gridCol w:w="1132"/>
        <w:gridCol w:w="1184"/>
      </w:tblGrid>
      <w:tr>
        <w:tc>
          <w:tcPr>
            <w:tcW w:type="dxa" w:w="5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type="dxa" w:w="14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type="dxa" w:w="10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Уровень показателя</w:t>
            </w:r>
          </w:p>
        </w:tc>
        <w:tc>
          <w:tcPr>
            <w:tcW w:type="dxa" w:w="11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Признак </w:t>
            </w:r>
            <w:r>
              <w:rPr>
                <w:rFonts w:ascii="Times New Roman" w:hAnsi="Times New Roman"/>
                <w:color w:val="000000"/>
              </w:rPr>
              <w:t>возрастания/убывания</w:t>
            </w:r>
          </w:p>
        </w:tc>
        <w:tc>
          <w:tcPr>
            <w:tcW w:type="dxa" w:w="8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Единица измерения (по ОКЕИ)</w:t>
            </w:r>
          </w:p>
        </w:tc>
        <w:tc>
          <w:tcPr>
            <w:tcW w:type="dxa" w:w="1374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Базовое значение</w:t>
            </w:r>
          </w:p>
        </w:tc>
        <w:tc>
          <w:tcPr>
            <w:tcW w:type="dxa" w:w="3710"/>
            <w:gridSpan w:val="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Значение показателя по годам</w:t>
            </w:r>
          </w:p>
        </w:tc>
        <w:tc>
          <w:tcPr>
            <w:tcW w:type="dxa" w:w="13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Документ</w:t>
            </w:r>
          </w:p>
        </w:tc>
        <w:tc>
          <w:tcPr>
            <w:tcW w:type="dxa" w:w="11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Ответственный за достижение показателя</w:t>
            </w:r>
          </w:p>
        </w:tc>
        <w:tc>
          <w:tcPr>
            <w:tcW w:type="dxa" w:w="9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Связь с показателями национальных целей</w:t>
            </w:r>
          </w:p>
        </w:tc>
        <w:tc>
          <w:tcPr>
            <w:tcW w:type="dxa" w:w="11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Признак реализуется муниципальным образованием</w:t>
            </w:r>
          </w:p>
        </w:tc>
        <w:tc>
          <w:tcPr>
            <w:tcW w:type="dxa" w:w="11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Информационная </w:t>
            </w:r>
            <w:r>
              <w:rPr>
                <w:rFonts w:ascii="Times New Roman" w:hAnsi="Times New Roman"/>
                <w:color w:val="000000"/>
              </w:rPr>
              <w:t>система (источник данных)</w:t>
            </w:r>
          </w:p>
        </w:tc>
      </w:tr>
      <w:tr>
        <w:tc>
          <w:tcPr>
            <w:tcW w:type="dxa" w:w="5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4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0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1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75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значение</w:t>
            </w:r>
          </w:p>
        </w:tc>
        <w:tc>
          <w:tcPr>
            <w:tcW w:type="dxa" w:w="61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5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</w:tc>
        <w:tc>
          <w:tcPr>
            <w:tcW w:type="dxa" w:w="51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</w:tc>
        <w:tc>
          <w:tcPr>
            <w:tcW w:type="dxa" w:w="51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</w:tc>
        <w:tc>
          <w:tcPr>
            <w:tcW w:type="dxa" w:w="52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</w:tc>
        <w:tc>
          <w:tcPr>
            <w:tcW w:type="dxa" w:w="52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</w:t>
            </w:r>
          </w:p>
        </w:tc>
        <w:tc>
          <w:tcPr>
            <w:tcW w:type="dxa" w:w="54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2029</w:t>
            </w:r>
          </w:p>
        </w:tc>
        <w:tc>
          <w:tcPr>
            <w:tcW w:type="dxa" w:w="53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2030</w:t>
            </w:r>
          </w:p>
        </w:tc>
        <w:tc>
          <w:tcPr>
            <w:tcW w:type="dxa" w:w="13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1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9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1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11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</w:tr>
    </w:tbl>
    <w:p w14:paraId="34000000">
      <w:pPr>
        <w:pStyle w:val="Style_4"/>
        <w:rPr>
          <w:rFonts w:ascii="Times New Roman" w:hAnsi="Times New Roman"/>
          <w:color w:val="000000"/>
        </w:rPr>
      </w:pPr>
    </w:p>
    <w:tbl>
      <w:tblPr>
        <w:tblStyle w:val="Style_1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567"/>
        <w:gridCol w:w="1470"/>
        <w:gridCol w:w="1068"/>
        <w:gridCol w:w="1193"/>
        <w:gridCol w:w="852"/>
        <w:gridCol w:w="774"/>
        <w:gridCol w:w="600"/>
        <w:gridCol w:w="551"/>
        <w:gridCol w:w="516"/>
        <w:gridCol w:w="516"/>
        <w:gridCol w:w="528"/>
        <w:gridCol w:w="529"/>
        <w:gridCol w:w="552"/>
        <w:gridCol w:w="513"/>
        <w:gridCol w:w="1380"/>
        <w:gridCol w:w="1095"/>
        <w:gridCol w:w="915"/>
        <w:gridCol w:w="1129"/>
        <w:gridCol w:w="1172"/>
      </w:tblGrid>
      <w:tr>
        <w:trPr>
          <w:tblHeader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119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type="dxa" w:w="55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type="dxa" w:w="11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</w:t>
            </w:r>
          </w:p>
        </w:tc>
      </w:tr>
      <w:tr>
        <w:trPr>
          <w:trHeight w:hRule="atLeast" w:val="382"/>
        </w:trP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type="dxa" w:w="15353"/>
            <w:gridSpan w:val="1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9000000">
            <w:pPr>
              <w:pStyle w:val="Style_3"/>
              <w:numPr>
                <w:ilvl w:val="0"/>
                <w:numId w:val="1"/>
              </w:numPr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Цель государственной программы «Обеспечение долгосрочной сбалансированности и устойчивости краевого бюджета и местных бюджетов» </w:t>
            </w:r>
          </w:p>
        </w:tc>
      </w:tr>
      <w:t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type="dxa" w:w="147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00000">
            <w:pPr>
              <w:pStyle w:val="Style_3"/>
              <w:spacing w:before="74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Отношение объема просроченной кредиторской задолженности по состоянию на конец отчетного </w:t>
            </w:r>
            <w:r>
              <w:rPr>
                <w:rFonts w:ascii="Times New Roman" w:hAnsi="Times New Roman"/>
                <w:color w:val="000000"/>
              </w:rPr>
              <w:t>периода к общему объему расходов краевого бюджета</w:t>
            </w:r>
          </w:p>
        </w:tc>
        <w:tc>
          <w:tcPr>
            <w:tcW w:type="dxa" w:w="106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КПМ</w:t>
            </w:r>
          </w:p>
        </w:tc>
        <w:tc>
          <w:tcPr>
            <w:tcW w:type="dxa" w:w="119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убывание</w:t>
            </w:r>
          </w:p>
        </w:tc>
        <w:tc>
          <w:tcPr>
            <w:tcW w:type="dxa" w:w="85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процент</w:t>
            </w:r>
          </w:p>
        </w:tc>
        <w:tc>
          <w:tcPr>
            <w:tcW w:type="dxa" w:w="77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60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</w:tc>
        <w:tc>
          <w:tcPr>
            <w:tcW w:type="dxa" w:w="55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51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51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52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529"/>
            <w:tcBorders>
              <w:left w:sz="4" w:val="nil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552"/>
            <w:tcBorders>
              <w:left w:sz="4" w:val="nil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51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380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Соглашение о мерах по социально-экономическому развитию и оздоровлению государственных финансов Камчатского края от 06.02.2023 № 01-06-10/06-65</w:t>
            </w:r>
          </w:p>
        </w:tc>
        <w:tc>
          <w:tcPr>
            <w:tcW w:type="dxa" w:w="109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Министерство финансо</w:t>
            </w:r>
            <w:r>
              <w:rPr>
                <w:rFonts w:ascii="Times New Roman" w:hAnsi="Times New Roman"/>
                <w:color w:val="000000"/>
              </w:rPr>
              <w:t>в Камчатского края</w:t>
            </w:r>
          </w:p>
        </w:tc>
        <w:tc>
          <w:tcPr>
            <w:tcW w:type="dxa" w:w="91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A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12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B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172"/>
            <w:tcBorders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отсутствует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00000">
            <w:pPr>
              <w:pStyle w:val="Style_3"/>
              <w:spacing w:before="74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Отношение объема государственного долга Камчатского края к общему объему доходов краевого бюджета без учета объема безвозмездных поступлений</w:t>
            </w:r>
          </w:p>
        </w:tc>
        <w:tc>
          <w:tcPr>
            <w:tcW w:type="dxa" w:w="10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КПМ</w:t>
            </w:r>
          </w:p>
        </w:tc>
        <w:tc>
          <w:tcPr>
            <w:tcW w:type="dxa" w:w="11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убывание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процент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30,9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4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≤ 50</w:t>
            </w:r>
          </w:p>
        </w:tc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5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≤ 50</w:t>
            </w:r>
          </w:p>
        </w:tc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≤ 50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≤ 5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≤ 50</w:t>
            </w:r>
          </w:p>
        </w:tc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≤ 50</w:t>
            </w:r>
          </w:p>
        </w:tc>
        <w:tc>
          <w:tcPr>
            <w:tcW w:type="dxa" w:w="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≤ 50</w:t>
            </w:r>
          </w:p>
        </w:tc>
        <w:tc>
          <w:tcPr>
            <w:tcW w:type="dxa" w:w="13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Бюджетный кодекс Российской Федерации </w:t>
            </w:r>
            <w:r>
              <w:rPr>
                <w:rFonts w:ascii="Times New Roman" w:hAnsi="Times New Roman"/>
                <w:color w:val="000000"/>
              </w:rPr>
              <w:t>от 31.07.1998 № 145-ФЗ</w:t>
            </w:r>
          </w:p>
          <w:p w14:paraId="6C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Министерство финансов Камчатского края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1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отсутствует</w:t>
            </w:r>
          </w:p>
        </w:tc>
      </w:tr>
      <w:t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type="dxa" w:w="147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2000000">
            <w:pPr>
              <w:pStyle w:val="Style_3"/>
              <w:spacing w:before="74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Общий объем просроченной кредиторской задолженности муниципальных образований в Камчатском крае</w:t>
            </w:r>
          </w:p>
        </w:tc>
        <w:tc>
          <w:tcPr>
            <w:tcW w:type="dxa" w:w="106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КПМ</w:t>
            </w:r>
          </w:p>
        </w:tc>
        <w:tc>
          <w:tcPr>
            <w:tcW w:type="dxa" w:w="11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убывание</w:t>
            </w:r>
          </w:p>
        </w:tc>
        <w:tc>
          <w:tcPr>
            <w:tcW w:type="dxa" w:w="85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млн</w:t>
            </w:r>
            <w:r>
              <w:rPr>
                <w:rFonts w:ascii="Times New Roman" w:hAnsi="Times New Roman"/>
                <w:color w:val="000000"/>
              </w:rPr>
              <w:t xml:space="preserve"> рублей</w:t>
            </w:r>
          </w:p>
        </w:tc>
        <w:tc>
          <w:tcPr>
            <w:tcW w:type="dxa" w:w="77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6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60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</w:tc>
        <w:tc>
          <w:tcPr>
            <w:tcW w:type="dxa" w:w="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51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51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52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529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552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51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380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Соглашение о мерах по социально-экономическому развитию и оздоровлению государственных финансов Камчатского края от 06.02.2023 № 01-06-10/06-65</w:t>
            </w:r>
          </w:p>
        </w:tc>
        <w:tc>
          <w:tcPr>
            <w:tcW w:type="dxa" w:w="109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Министерство финансов Камчатского края</w:t>
            </w:r>
          </w:p>
        </w:tc>
        <w:tc>
          <w:tcPr>
            <w:tcW w:type="dxa" w:w="91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129"/>
            <w:tcBorders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1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00000">
            <w:pPr>
              <w:pStyle w:val="Style_3"/>
              <w:spacing w:before="7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отсутствует</w:t>
            </w:r>
          </w:p>
        </w:tc>
      </w:tr>
    </w:tbl>
    <w:p w14:paraId="84000000">
      <w:pPr>
        <w:spacing w:before="74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br w:type="page"/>
      </w:r>
      <w:r>
        <w:rPr>
          <w:rFonts w:ascii="Times New Roman" w:hAnsi="Times New Roman"/>
          <w:color w:val="000000"/>
        </w:rPr>
        <w:t>3. Помес</w:t>
      </w:r>
      <w:r>
        <w:rPr>
          <w:rFonts w:ascii="Times New Roman" w:hAnsi="Times New Roman"/>
          <w:color w:val="000000"/>
        </w:rPr>
        <w:t>ячный план достижения показателей государственной программы в 2024 году</w:t>
      </w:r>
    </w:p>
    <w:p w14:paraId="85000000">
      <w:pPr>
        <w:spacing w:before="74"/>
        <w:ind/>
        <w:jc w:val="center"/>
        <w:rPr>
          <w:rFonts w:ascii="Times New Roman" w:hAnsi="Times New Roman"/>
          <w:color w:val="000000"/>
        </w:rPr>
      </w:pPr>
    </w:p>
    <w:tbl>
      <w:tblPr>
        <w:tblStyle w:val="Style_1"/>
        <w:tblLayout w:type="fixed"/>
        <w:tblCellMar>
          <w:left w:type="dxa" w:w="6"/>
          <w:right w:type="dxa" w:w="6"/>
        </w:tblCellMar>
      </w:tblPr>
      <w:tblGrid>
        <w:gridCol w:w="505"/>
        <w:gridCol w:w="4090"/>
        <w:gridCol w:w="1126"/>
        <w:gridCol w:w="1256"/>
        <w:gridCol w:w="660"/>
        <w:gridCol w:w="658"/>
        <w:gridCol w:w="659"/>
        <w:gridCol w:w="659"/>
        <w:gridCol w:w="661"/>
        <w:gridCol w:w="657"/>
        <w:gridCol w:w="661"/>
        <w:gridCol w:w="658"/>
        <w:gridCol w:w="660"/>
        <w:gridCol w:w="658"/>
        <w:gridCol w:w="660"/>
        <w:gridCol w:w="1183"/>
      </w:tblGrid>
      <w:tr>
        <w:trPr>
          <w:trHeight w:hRule="atLeast" w:val="349"/>
          <w:tblHeader/>
        </w:trPr>
        <w:tc>
          <w:tcPr>
            <w:tcW w:type="dxa" w:w="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6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type="dxa" w:w="40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700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Наименование показателя </w:t>
            </w:r>
          </w:p>
        </w:tc>
        <w:tc>
          <w:tcPr>
            <w:tcW w:type="dxa" w:w="11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8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Уровень показателя</w:t>
            </w:r>
          </w:p>
        </w:tc>
        <w:tc>
          <w:tcPr>
            <w:tcW w:type="dxa" w:w="12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900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Единица измерения (по ОКЕИ)</w:t>
            </w:r>
          </w:p>
        </w:tc>
        <w:tc>
          <w:tcPr>
            <w:tcW w:type="dxa" w:w="7251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A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Плановые значения по кварталам/месяцам</w:t>
            </w:r>
          </w:p>
        </w:tc>
        <w:tc>
          <w:tcPr>
            <w:tcW w:type="dxa" w:w="11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B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На конец </w:t>
            </w:r>
            <w:r>
              <w:rPr>
                <w:rFonts w:ascii="Times New Roman" w:hAnsi="Times New Roman"/>
                <w:color w:val="000000"/>
              </w:rPr>
              <w:t>2024</w:t>
            </w:r>
            <w:r>
              <w:rPr>
                <w:rFonts w:ascii="Times New Roman" w:hAnsi="Times New Roman"/>
                <w:color w:val="000000"/>
              </w:rPr>
              <w:t xml:space="preserve"> года</w:t>
            </w:r>
          </w:p>
        </w:tc>
      </w:tr>
      <w:tr>
        <w:trPr>
          <w:trHeight w:hRule="atLeast" w:val="661"/>
          <w:tblHeader/>
        </w:trPr>
        <w:tc>
          <w:tcPr>
            <w:tcW w:type="dxa" w:w="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/>
        </w:tc>
        <w:tc>
          <w:tcPr>
            <w:tcW w:type="dxa" w:w="40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/>
        </w:tc>
        <w:tc>
          <w:tcPr>
            <w:tcW w:type="dxa" w:w="11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/>
        </w:tc>
        <w:tc>
          <w:tcPr>
            <w:tcW w:type="dxa" w:w="12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/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C00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янв.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D00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фев.</w:t>
            </w:r>
          </w:p>
        </w:tc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E00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март</w:t>
            </w:r>
          </w:p>
        </w:tc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8F00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апр.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000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май</w:t>
            </w:r>
          </w:p>
        </w:tc>
        <w:tc>
          <w:tcPr>
            <w:tcW w:type="dxa" w:w="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100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июнь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200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июль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300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авг.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400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сен.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500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окт.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600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ноя.</w:t>
            </w:r>
          </w:p>
        </w:tc>
        <w:tc>
          <w:tcPr>
            <w:tcW w:type="dxa" w:w="1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/>
        </w:tc>
      </w:tr>
    </w:tbl>
    <w:p w14:paraId="97000000">
      <w:pPr>
        <w:pStyle w:val="Style_4"/>
        <w:rPr>
          <w:rFonts w:ascii="Times New Roman" w:hAnsi="Times New Roman"/>
          <w:color w:val="000000"/>
        </w:rPr>
      </w:pPr>
    </w:p>
    <w:tbl>
      <w:tblPr>
        <w:tblStyle w:val="Style_1"/>
        <w:tblLayout w:type="fixed"/>
        <w:tblCellMar>
          <w:left w:type="dxa" w:w="6"/>
          <w:right w:type="dxa" w:w="6"/>
        </w:tblCellMar>
      </w:tblPr>
      <w:tblGrid>
        <w:gridCol w:w="505"/>
        <w:gridCol w:w="4090"/>
        <w:gridCol w:w="1126"/>
        <w:gridCol w:w="1256"/>
        <w:gridCol w:w="660"/>
        <w:gridCol w:w="658"/>
        <w:gridCol w:w="659"/>
        <w:gridCol w:w="659"/>
        <w:gridCol w:w="661"/>
        <w:gridCol w:w="657"/>
        <w:gridCol w:w="661"/>
        <w:gridCol w:w="658"/>
        <w:gridCol w:w="660"/>
        <w:gridCol w:w="658"/>
        <w:gridCol w:w="660"/>
        <w:gridCol w:w="1183"/>
      </w:tblGrid>
      <w:tr>
        <w:trPr>
          <w:trHeight w:hRule="atLeast" w:val="204"/>
        </w:trPr>
        <w:tc>
          <w:tcPr>
            <w:tcW w:type="dxa" w:w="505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8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4090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9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A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B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C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D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E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type="dxa" w:w="659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9F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0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type="dxa" w:w="657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1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2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3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4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5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6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type="dxa" w:w="1183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7000000">
            <w:pPr>
              <w:widowControl w:val="0"/>
              <w:spacing w:after="60" w:before="6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</w:tr>
      <w:tr>
        <w:trPr>
          <w:trHeight w:hRule="atLeast" w:val="386"/>
        </w:trPr>
        <w:tc>
          <w:tcPr>
            <w:tcW w:type="dxa" w:w="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8000000">
            <w:pPr>
              <w:widowControl w:val="0"/>
              <w:spacing w:after="60" w:before="60" w:line="240" w:lineRule="atLeast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type="dxa" w:w="1490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9000000">
            <w:pPr>
              <w:ind w:firstLine="0" w:left="14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Обеспечение долгосрочной сбалансированности и устойчивости краевого бюджета и местных бюджетов</w:t>
            </w:r>
          </w:p>
        </w:tc>
      </w:tr>
      <w:tr>
        <w:trPr>
          <w:trHeight w:hRule="atLeast" w:val="386"/>
        </w:trPr>
        <w:tc>
          <w:tcPr>
            <w:tcW w:type="dxa" w:w="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A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type="dxa" w:w="4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00000">
            <w:pPr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Отношение объема просроченной кредиторской задолженности по состоянию на конец отчетного </w:t>
            </w:r>
            <w:r>
              <w:rPr>
                <w:rFonts w:ascii="Times New Roman" w:hAnsi="Times New Roman"/>
                <w:color w:val="000000"/>
              </w:rPr>
              <w:t>периода к общему объему расходов краевого бюджета</w:t>
            </w:r>
          </w:p>
        </w:tc>
        <w:tc>
          <w:tcPr>
            <w:tcW w:type="dxa" w:w="1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C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color w:val="000000"/>
                <w:u w:color="000000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>КПМ</w:t>
            </w:r>
          </w:p>
        </w:tc>
        <w:tc>
          <w:tcPr>
            <w:tcW w:type="dxa" w:w="1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D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процент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E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AF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0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1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2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3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4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5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6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7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8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9000000">
            <w:pPr>
              <w:widowControl w:val="0"/>
              <w:spacing w:line="240" w:lineRule="atLeast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c>
          <w:tcPr>
            <w:tcW w:type="dxa" w:w="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A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1.5.</w:t>
            </w:r>
          </w:p>
        </w:tc>
        <w:tc>
          <w:tcPr>
            <w:tcW w:type="dxa" w:w="4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00000">
            <w:pPr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Отношение объема государственного долга Камчатского края к общему объему доходов краевого бюджета без учета объема безвозмездных поступлений</w:t>
            </w:r>
          </w:p>
        </w:tc>
        <w:tc>
          <w:tcPr>
            <w:tcW w:type="dxa" w:w="1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C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>КПМ</w:t>
            </w:r>
          </w:p>
        </w:tc>
        <w:tc>
          <w:tcPr>
            <w:tcW w:type="dxa" w:w="1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D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процент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E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BF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0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1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2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3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4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5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6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7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8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9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≤ 50</w:t>
            </w:r>
          </w:p>
        </w:tc>
      </w:tr>
      <w:tr>
        <w:tc>
          <w:tcPr>
            <w:tcW w:type="dxa" w:w="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A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1.12.</w:t>
            </w:r>
          </w:p>
        </w:tc>
        <w:tc>
          <w:tcPr>
            <w:tcW w:type="dxa" w:w="4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00000">
            <w:pPr>
              <w:pStyle w:val="Style_3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Общий объем просроченной кредиторской задолженности муниципальных образований  в Камчатском крае</w:t>
            </w:r>
          </w:p>
        </w:tc>
        <w:tc>
          <w:tcPr>
            <w:tcW w:type="dxa" w:w="1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C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>КПМ</w:t>
            </w:r>
          </w:p>
        </w:tc>
        <w:tc>
          <w:tcPr>
            <w:tcW w:type="dxa" w:w="1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D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млн рублей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E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CF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D0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D1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D2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D3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D4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D5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D6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D7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D8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6"/>
              <w:bottom w:type="dxa" w:w="0"/>
              <w:right w:type="dxa" w:w="6"/>
            </w:tcMar>
            <w:vAlign w:val="center"/>
          </w:tcPr>
          <w:p w14:paraId="D9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</w:tbl>
    <w:p w14:paraId="DA000000">
      <w:pPr>
        <w:spacing w:before="74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br w:type="page"/>
      </w:r>
      <w:r>
        <w:rPr>
          <w:rFonts w:ascii="Times New Roman" w:hAnsi="Times New Roman"/>
          <w:color w:val="000000"/>
        </w:rPr>
        <w:t>4. Структура государственной программы</w:t>
      </w:r>
    </w:p>
    <w:p w14:paraId="DB000000">
      <w:pPr>
        <w:spacing w:before="74"/>
        <w:ind/>
        <w:jc w:val="center"/>
        <w:rPr>
          <w:rFonts w:ascii="Times New Roman" w:hAnsi="Times New Roman"/>
          <w:color w:val="000000"/>
        </w:rPr>
      </w:pPr>
    </w:p>
    <w:tbl>
      <w:tblPr>
        <w:tblStyle w:val="Style_1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788"/>
        <w:gridCol w:w="6806"/>
        <w:gridCol w:w="3693"/>
        <w:gridCol w:w="4316"/>
      </w:tblGrid>
      <w:tr>
        <w:trPr>
          <w:tblHeader/>
        </w:trPr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C000000">
            <w:pPr>
              <w:pStyle w:val="Style_2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№ п/п</w:t>
            </w:r>
          </w:p>
        </w:tc>
        <w:tc>
          <w:tcPr>
            <w:tcW w:type="dxa" w:w="680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D000000">
            <w:pPr>
              <w:pStyle w:val="Style_2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Задачи структурного элемента</w:t>
            </w:r>
          </w:p>
        </w:tc>
        <w:tc>
          <w:tcPr>
            <w:tcW w:type="dxa" w:w="369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E000000">
            <w:pPr>
              <w:pStyle w:val="Style_2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4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F000000">
            <w:pPr>
              <w:pStyle w:val="Style_2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Связь с показателями</w:t>
            </w:r>
          </w:p>
        </w:tc>
      </w:tr>
    </w:tbl>
    <w:p w14:paraId="E0000000">
      <w:pPr>
        <w:pStyle w:val="Style_4"/>
        <w:rPr>
          <w:rFonts w:ascii="Times New Roman" w:hAnsi="Times New Roman"/>
          <w:color w:val="000000"/>
        </w:rPr>
      </w:pPr>
    </w:p>
    <w:tbl>
      <w:tblPr>
        <w:tblStyle w:val="Style_1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788"/>
        <w:gridCol w:w="6806"/>
        <w:gridCol w:w="3693"/>
        <w:gridCol w:w="4316"/>
      </w:tblGrid>
      <w:tr>
        <w:trPr>
          <w:tblHeader/>
        </w:trPr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1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680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2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369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3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4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4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type="dxa" w:w="14815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1. Направление (подпрограмма) «Совершенствование управления государственными финансами, повышение открытости и прозрачности </w:t>
            </w:r>
            <w:r>
              <w:rPr>
                <w:rFonts w:ascii="Times New Roman" w:hAnsi="Times New Roman"/>
                <w:color w:val="000000"/>
              </w:rPr>
              <w:t>бюджетного процесса в Камчатском крае»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type="dxa" w:w="14815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«Оптимизация и повышение эффективности расходов краевого бюджета»</w:t>
            </w:r>
          </w:p>
        </w:tc>
      </w:tr>
      <w:tr>
        <w:trPr>
          <w:trHeight w:hRule="atLeast" w:val="613"/>
        </w:trP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A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Министерство финансов Камчатского края</w:t>
            </w:r>
          </w:p>
        </w:tc>
        <w:tc>
          <w:tcPr>
            <w:tcW w:type="dxa" w:w="8009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B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1.1.1.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00000">
            <w:pPr>
              <w:pStyle w:val="Style_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Обеспечена взаимоувязка</w:t>
            </w:r>
            <w:r>
              <w:rPr>
                <w:rFonts w:ascii="Times New Roman" w:hAnsi="Times New Roman"/>
                <w:color w:val="000000"/>
              </w:rPr>
              <w:t xml:space="preserve"> бюджетного планирования со стратегическими целями социально-экономического развития Камчатского края</w:t>
            </w:r>
          </w:p>
        </w:tc>
        <w:tc>
          <w:tcPr>
            <w:tcW w:type="dxa" w:w="3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00000">
            <w:pPr>
              <w:pStyle w:val="Style_3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Утвержденная и работающая система формирования расходной части краевого бюджета на основе государственных программ Камчатского края, синхронизированных по</w:t>
            </w:r>
            <w:r>
              <w:rPr>
                <w:rFonts w:ascii="Times New Roman" w:hAnsi="Times New Roman"/>
                <w:color w:val="000000"/>
              </w:rPr>
              <w:t xml:space="preserve"> целям и ресурсам в долгосрочном бюджетном прогнозе Камчатского края</w:t>
            </w:r>
          </w:p>
        </w:tc>
        <w:tc>
          <w:tcPr>
            <w:tcW w:type="dxa" w:w="431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1.1.2.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0000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Обеспечено формирование краевого бюджета преимущественно в рамках государственных программ Камчатского края</w:t>
            </w:r>
          </w:p>
        </w:tc>
        <w:tc>
          <w:tcPr>
            <w:tcW w:type="dxa" w:w="3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431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1.1.3.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00000">
            <w:pPr>
              <w:pStyle w:val="Style_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Обеспечено повышение качества управления региональными </w:t>
            </w:r>
            <w:r>
              <w:rPr>
                <w:rFonts w:ascii="Times New Roman" w:hAnsi="Times New Roman"/>
                <w:color w:val="000000"/>
              </w:rPr>
              <w:t>финансами</w:t>
            </w:r>
          </w:p>
        </w:tc>
        <w:tc>
          <w:tcPr>
            <w:tcW w:type="dxa" w:w="3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431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00000">
            <w:pPr>
              <w:pStyle w:val="Style_3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Отношение объема просроченной кредиторской задолженности по состоянию на конец отчетного периода к общему объему расходов краевого бюджета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type="dxa" w:w="148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«Повышение открытости и доступности информации о бюджетном процессе </w:t>
            </w:r>
            <w:r>
              <w:rPr>
                <w:rFonts w:ascii="Times New Roman" w:hAnsi="Times New Roman"/>
                <w:color w:val="000000"/>
              </w:rPr>
              <w:t>в Камчатском крае»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9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Министерство финансов Камчатского края</w:t>
            </w:r>
          </w:p>
        </w:tc>
        <w:tc>
          <w:tcPr>
            <w:tcW w:type="dxa" w:w="8009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1.2.1.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00000">
            <w:pPr>
              <w:pStyle w:val="Style_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Обеспечена доступность информации о бюджетном процессе для граждан Камчатского края с использованием средств визуализации (диаграммы и инфографики)</w:t>
            </w:r>
          </w:p>
        </w:tc>
        <w:tc>
          <w:tcPr>
            <w:tcW w:type="dxa" w:w="369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00000">
            <w:pPr>
              <w:pStyle w:val="Style_3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Обеспечение открытости и доступности </w:t>
            </w:r>
            <w:r>
              <w:rPr>
                <w:rFonts w:ascii="Times New Roman" w:hAnsi="Times New Roman"/>
                <w:color w:val="000000"/>
              </w:rPr>
              <w:t>для граждан информации обо всех этапах бюджетного процесса на региональном уровне, о состоянии государственных финансов Камчатского края</w:t>
            </w:r>
          </w:p>
        </w:tc>
        <w:tc>
          <w:tcPr>
            <w:tcW w:type="dxa" w:w="431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type="dxa" w:w="14815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2. Направление (подпрограмма) «Управление государственным долгом Камчатского края, средствами резервных фондов и </w:t>
            </w:r>
            <w:r>
              <w:rPr>
                <w:rFonts w:ascii="Times New Roman" w:hAnsi="Times New Roman"/>
                <w:color w:val="000000"/>
              </w:rPr>
              <w:t>резервами ассигнований»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2.1.</w:t>
            </w:r>
          </w:p>
        </w:tc>
        <w:tc>
          <w:tcPr>
            <w:tcW w:type="dxa" w:w="14815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«Управление государственным долгом»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Министерство финансов Камчатского края</w:t>
            </w:r>
          </w:p>
        </w:tc>
        <w:tc>
          <w:tcPr>
            <w:tcW w:type="dxa" w:w="8009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2.1.1.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10000">
            <w:pPr>
              <w:pStyle w:val="Style_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Обеспечены интересы Камчатского края как заемщика и гаранта</w:t>
            </w:r>
          </w:p>
        </w:tc>
        <w:tc>
          <w:tcPr>
            <w:tcW w:type="dxa" w:w="36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10000">
            <w:pPr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Обеспечены приемлемые и экономически </w:t>
            </w:r>
            <w:r>
              <w:rPr>
                <w:rFonts w:ascii="Times New Roman" w:hAnsi="Times New Roman"/>
                <w:color w:val="000000"/>
              </w:rPr>
              <w:t>обоснованные объем и структура государственного долга Камчатского края.</w:t>
            </w:r>
          </w:p>
          <w:p w14:paraId="0901000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Обеспечено исполнение долговых обязательств Камчатского края своевременно и в полном объеме.</w:t>
            </w:r>
          </w:p>
          <w:p w14:paraId="0A010000">
            <w:pPr>
              <w:pStyle w:val="Style_3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Экономически обоснованная стоимость обслуживания государственного долга Камчатского края</w:t>
            </w:r>
          </w:p>
        </w:tc>
        <w:tc>
          <w:tcPr>
            <w:tcW w:type="dxa" w:w="431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10000">
            <w:pPr>
              <w:pStyle w:val="Style_3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</w:t>
            </w:r>
            <w:r>
              <w:rPr>
                <w:rFonts w:ascii="Times New Roman" w:hAnsi="Times New Roman"/>
                <w:color w:val="000000"/>
              </w:rPr>
              <w:t>ношение объема государственного долга Камчатского края к общему объему доходов краевого бюджета без учета объема безвозмездных поступлений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2.2.</w:t>
            </w:r>
          </w:p>
        </w:tc>
        <w:tc>
          <w:tcPr>
            <w:tcW w:type="dxa" w:w="14815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«Управление средствами резервных фондов и резервами ассигнований, созданных в </w:t>
            </w:r>
            <w:r>
              <w:rPr>
                <w:rFonts w:ascii="Times New Roman" w:hAnsi="Times New Roman"/>
                <w:color w:val="000000"/>
              </w:rPr>
              <w:t>соответствии с законодательством Российской Федерации и Камчатского края»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Министерство финансов Камчатского края</w:t>
            </w:r>
          </w:p>
        </w:tc>
        <w:tc>
          <w:tcPr>
            <w:tcW w:type="dxa" w:w="8009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1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2.2.1.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10000">
            <w:pPr>
              <w:pStyle w:val="Style_3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Обеспечено ежегодное выделение зарезервированных ассигнований в соответствии с законодательством Российской Федерации и Камчатского</w:t>
            </w:r>
            <w:r>
              <w:rPr>
                <w:rFonts w:ascii="Times New Roman" w:hAnsi="Times New Roman"/>
                <w:color w:val="000000"/>
              </w:rPr>
              <w:t xml:space="preserve"> края</w:t>
            </w:r>
          </w:p>
        </w:tc>
        <w:tc>
          <w:tcPr>
            <w:tcW w:type="dxa" w:w="36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10000">
            <w:pPr>
              <w:pStyle w:val="Style_3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Своевременное финансовое обеспечение непредвиденных расходов в соответствии с требованиями бюджетного законодательства; создание и поддержание необходимых финансовых резервов</w:t>
            </w:r>
          </w:p>
        </w:tc>
        <w:tc>
          <w:tcPr>
            <w:tcW w:type="dxa" w:w="431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1000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Отношение объема просроченной кредиторской задолженности по состоянию на </w:t>
            </w:r>
            <w:r>
              <w:rPr>
                <w:rFonts w:ascii="Times New Roman" w:hAnsi="Times New Roman"/>
                <w:color w:val="000000"/>
              </w:rPr>
              <w:t>конец отчетного периода к общему объему расходов краевого бюджета</w:t>
            </w:r>
          </w:p>
        </w:tc>
      </w:tr>
      <w:tr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type="dxa" w:w="148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 Направление (подпрограмма) «Создание условий для эффективного и ответственного управления муниципальными финансами, повышения устойчивости местных бюджетов»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3.1.</w:t>
            </w:r>
          </w:p>
        </w:tc>
        <w:tc>
          <w:tcPr>
            <w:tcW w:type="dxa" w:w="14815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Ведомственный проект</w:t>
            </w:r>
            <w:r>
              <w:rPr>
                <w:rFonts w:ascii="Times New Roman" w:hAnsi="Times New Roman"/>
                <w:color w:val="000000"/>
              </w:rPr>
              <w:t xml:space="preserve"> «Создание условий для участия граждан в принятии бюджетных решений для решения городских (сельских) проблем»</w:t>
            </w:r>
          </w:p>
          <w:p w14:paraId="19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(Прудкий Д.А./Министр по делам местного самоуправления и развитию Корякского округа Камчатского края)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Министерство по делам местного </w:t>
            </w:r>
            <w:r>
              <w:rPr>
                <w:rFonts w:ascii="Times New Roman" w:hAnsi="Times New Roman"/>
                <w:color w:val="000000"/>
              </w:rPr>
              <w:t>самоуправления и развитию Корякского округа Камчатского края</w:t>
            </w:r>
          </w:p>
        </w:tc>
        <w:tc>
          <w:tcPr>
            <w:tcW w:type="dxa" w:w="8009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</w:t>
            </w:r>
          </w:p>
          <w:p w14:paraId="1D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(2024-2030)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3.1.1.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10000">
            <w:pPr>
              <w:pStyle w:val="Style_3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Развитие взаимодействия органов местного самоуправления муниципальных образований с жителями муниципальных образований и территориальным общественным самоуправ</w:t>
            </w:r>
            <w:r>
              <w:rPr>
                <w:rFonts w:ascii="Times New Roman" w:hAnsi="Times New Roman"/>
                <w:color w:val="000000"/>
              </w:rPr>
              <w:t>лением</w:t>
            </w:r>
          </w:p>
        </w:tc>
        <w:tc>
          <w:tcPr>
            <w:tcW w:type="dxa" w:w="3693"/>
            <w:vMerge w:val="restart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10000">
            <w:pPr>
              <w:widowControl w:val="0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Возможность жителей влиять на принятие решений по развитию района или населенного пункта.</w:t>
            </w:r>
          </w:p>
        </w:tc>
        <w:tc>
          <w:tcPr>
            <w:tcW w:type="dxa" w:w="431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1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3.1.2.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10000">
            <w:pPr>
              <w:pStyle w:val="Style_3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Поддержка деятельности молодежных общественных объединений</w:t>
            </w:r>
          </w:p>
        </w:tc>
        <w:tc>
          <w:tcPr>
            <w:tcW w:type="dxa" w:w="3693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431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1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Style w:val="Style_3_ch"/>
                <w:rFonts w:ascii="Times New Roman" w:hAnsi="Times New Roman"/>
                <w:color w:val="000000"/>
              </w:rPr>
              <w:t>3.1.3.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10000">
            <w:pPr>
              <w:pStyle w:val="Style_3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Повышение эффективности бюджетных расходов за счет вовлечения жителей </w:t>
            </w:r>
            <w:r>
              <w:rPr>
                <w:rFonts w:ascii="Times New Roman" w:hAnsi="Times New Roman"/>
                <w:color w:val="000000"/>
              </w:rPr>
              <w:t>муниципальных образований в процессы принятия решений, связанных с решением вопросов местного значения</w:t>
            </w:r>
          </w:p>
        </w:tc>
        <w:tc>
          <w:tcPr>
            <w:tcW w:type="dxa" w:w="36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10000">
            <w:pPr>
              <w:widowControl w:val="0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Устранение проблемы, решение которой имеет приоритетное значение для жителей или его части.</w:t>
            </w:r>
          </w:p>
        </w:tc>
        <w:tc>
          <w:tcPr>
            <w:tcW w:type="dxa" w:w="431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1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3.2.</w:t>
            </w:r>
          </w:p>
        </w:tc>
        <w:tc>
          <w:tcPr>
            <w:tcW w:type="dxa" w:w="148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«Реализация </w:t>
            </w:r>
            <w:r>
              <w:rPr>
                <w:rFonts w:ascii="Times New Roman" w:hAnsi="Times New Roman"/>
                <w:color w:val="000000"/>
              </w:rPr>
              <w:t>мероприятий по выравниванию бюджетной обеспеченности муниципальных образований, обеспечению сбалансированности местных бюджетов»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Министерство финансов Камчатского края</w:t>
            </w:r>
          </w:p>
        </w:tc>
        <w:tc>
          <w:tcPr>
            <w:tcW w:type="dxa" w:w="8009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1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3.2.1.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10000">
            <w:pPr>
              <w:pStyle w:val="Style_3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Обеспечено ежегодное предоставление и распределение бюджетам муниципальных </w:t>
            </w:r>
            <w:r>
              <w:rPr>
                <w:rFonts w:ascii="Times New Roman" w:hAnsi="Times New Roman"/>
                <w:color w:val="000000"/>
              </w:rPr>
              <w:t xml:space="preserve">образований дотаций на выравнивание бюджетной обеспеченности муниципальных районов (муниципальных, городских округов), дотаций на поддержку мер по обеспечению сбалансированности бюджетов, субвенций муниципальным районам в Камчатском крае для осуществления </w:t>
            </w:r>
            <w:r>
              <w:rPr>
                <w:rFonts w:ascii="Times New Roman" w:hAnsi="Times New Roman"/>
                <w:color w:val="000000"/>
              </w:rPr>
              <w:t>полномочий органов государственной власти Камчатского края по расчету и предоставлению дотаций бюджетам поселений</w:t>
            </w:r>
          </w:p>
        </w:tc>
        <w:tc>
          <w:tcPr>
            <w:tcW w:type="dxa" w:w="36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10000">
            <w:pPr>
              <w:pStyle w:val="Style_3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Обеспечено прозрачное распределение и своевременное перечисление дотаций на выравнивание бюджетной обеспеченности муниципальных районов (муниц</w:t>
            </w:r>
            <w:r>
              <w:rPr>
                <w:rFonts w:ascii="Times New Roman" w:hAnsi="Times New Roman"/>
                <w:color w:val="000000"/>
              </w:rPr>
              <w:t>ипальных, городских округов), дотаций на поддержку мер по обеспечению сбалансированности бюджетов, субвенций муниципальным районам в Камчатском крае для осуществления полномочий органов государственной власти Камчатского края по расчету и предоставлению до</w:t>
            </w:r>
            <w:r>
              <w:rPr>
                <w:rFonts w:ascii="Times New Roman" w:hAnsi="Times New Roman"/>
                <w:color w:val="000000"/>
              </w:rPr>
              <w:t>таций бюджетам поселений. Заключены соглашения о мерах по социально-экономическому развитию и оздоровлению муниципальных финансов с главами администраций (руководителями исполнительно-распорядительных органов) муниципального района, муниципального (городск</w:t>
            </w:r>
            <w:r>
              <w:rPr>
                <w:rFonts w:ascii="Times New Roman" w:hAnsi="Times New Roman"/>
                <w:color w:val="000000"/>
              </w:rPr>
              <w:t>ого) округа, являющегося получателем дотации на выравнивание бюджетной обеспеченности</w:t>
            </w:r>
          </w:p>
        </w:tc>
        <w:tc>
          <w:tcPr>
            <w:tcW w:type="dxa" w:w="431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10000">
            <w:pPr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Общий объем просроченной кредиторской задолженности муниципальных образований в Камчатском крае</w:t>
            </w:r>
          </w:p>
        </w:tc>
      </w:tr>
      <w:tr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3.3.</w:t>
            </w:r>
          </w:p>
        </w:tc>
        <w:tc>
          <w:tcPr>
            <w:tcW w:type="dxa" w:w="148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«Реализация мероприятий по </w:t>
            </w:r>
            <w:r>
              <w:rPr>
                <w:rFonts w:ascii="Times New Roman" w:hAnsi="Times New Roman"/>
                <w:color w:val="000000"/>
              </w:rPr>
              <w:t>содействию в решении вопросов местного значения муниципальных образований в Камчатском крае»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Министерство финансов Камчатского края</w:t>
            </w:r>
          </w:p>
        </w:tc>
        <w:tc>
          <w:tcPr>
            <w:tcW w:type="dxa" w:w="8009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3.3.1.</w:t>
            </w: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10000">
            <w:pPr>
              <w:pStyle w:val="Style_3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Обеспечено ежегодное предоставление и распределение бюджетам муниципальных образований субсидий на </w:t>
            </w:r>
            <w:r>
              <w:rPr>
                <w:rFonts w:ascii="Times New Roman" w:hAnsi="Times New Roman"/>
                <w:color w:val="000000"/>
              </w:rPr>
              <w:t>софинансирование расходов на оплату труда работников муниципальных учреждений,  иных межбюджетных трансфертов местным бюджетам, главным распорядителем средств которых является Министерство финансов Камчатского края, обеспечено предоставление дотации, связа</w:t>
            </w:r>
            <w:r>
              <w:rPr>
                <w:rFonts w:ascii="Times New Roman" w:hAnsi="Times New Roman"/>
                <w:color w:val="000000"/>
              </w:rPr>
              <w:t>нной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type="dxa" w:w="369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10000">
            <w:pPr>
              <w:pStyle w:val="Style_3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Обеспечено прозрачное распределение и своевременное перечисление бюджетам муниципальных образований субсидий на софинансирование расходов на оплату труд</w:t>
            </w:r>
            <w:r>
              <w:rPr>
                <w:rFonts w:ascii="Times New Roman" w:hAnsi="Times New Roman"/>
                <w:color w:val="000000"/>
              </w:rPr>
              <w:t>а работников муниципальных учреждений,  иных межбюджетных трансфертов местным бюджетам, главным распорядителем средств которых является Министерство финансов Камчатского края, обеспечено своевременное перечисление дотации, связанной с особым режимом безопа</w:t>
            </w:r>
            <w:r>
              <w:rPr>
                <w:rFonts w:ascii="Times New Roman" w:hAnsi="Times New Roman"/>
                <w:color w:val="000000"/>
              </w:rPr>
              <w:t>сного функционирования закрытых административно-территориальных образований</w:t>
            </w:r>
          </w:p>
        </w:tc>
        <w:tc>
          <w:tcPr>
            <w:tcW w:type="dxa" w:w="431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10000">
            <w:pPr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Общий объем просроченной кредиторской задолженности муниципальных образований в Камчатском крае</w:t>
            </w:r>
          </w:p>
          <w:p w14:paraId="3B010000">
            <w:pPr>
              <w:ind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3.4.</w:t>
            </w:r>
          </w:p>
        </w:tc>
        <w:tc>
          <w:tcPr>
            <w:tcW w:type="dxa" w:w="148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«Стимулирование органов местного </w:t>
            </w:r>
            <w:r>
              <w:rPr>
                <w:rFonts w:ascii="Times New Roman" w:hAnsi="Times New Roman"/>
                <w:color w:val="000000"/>
              </w:rPr>
              <w:t>самоуправления по итогам оценки деятельности органов местного самоуправления муниципальных образований»</w:t>
            </w:r>
          </w:p>
        </w:tc>
      </w:tr>
      <w:tr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6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Министерство финансов Камчатского края</w:t>
            </w:r>
          </w:p>
        </w:tc>
        <w:tc>
          <w:tcPr>
            <w:tcW w:type="dxa" w:w="80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1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3.4.1.</w:t>
            </w:r>
          </w:p>
        </w:tc>
        <w:tc>
          <w:tcPr>
            <w:tcW w:type="dxa" w:w="6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10000">
            <w:pPr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Созданы стимулы к улучшению качества управления бюджетным процессом в муниципальных образованиях, </w:t>
            </w:r>
            <w:r>
              <w:rPr>
                <w:rFonts w:ascii="Times New Roman" w:hAnsi="Times New Roman"/>
                <w:color w:val="000000"/>
              </w:rPr>
              <w:t>поощрены муниципальные образования, достигшие наилучших результатов</w:t>
            </w:r>
          </w:p>
        </w:tc>
        <w:tc>
          <w:tcPr>
            <w:tcW w:type="dxa" w:w="3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10000">
            <w:pPr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Отсутствие просроченной кредиторской задолженности. Увеличение собираемости местных налогов и доходов от использования имущества. Увеличение уровня собираемости платежей населения за жилищ</w:t>
            </w:r>
            <w:r>
              <w:rPr>
                <w:rFonts w:ascii="Times New Roman" w:hAnsi="Times New Roman"/>
                <w:color w:val="000000"/>
              </w:rPr>
              <w:t>но-коммунальные услуги. Снижение численности экономически активных лиц, находящихся в трудоспособном возрасте и не осуществляющих трудовую деятельность. Сокращение задолженности по уплате имущественных налогов физических лиц и увеличение объема поступлений</w:t>
            </w:r>
            <w:r>
              <w:rPr>
                <w:rFonts w:ascii="Times New Roman" w:hAnsi="Times New Roman"/>
                <w:color w:val="000000"/>
              </w:rPr>
              <w:t xml:space="preserve"> имущественных налогов физических лиц</w:t>
            </w:r>
          </w:p>
        </w:tc>
        <w:tc>
          <w:tcPr>
            <w:tcW w:type="dxa" w:w="4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10000">
            <w:pPr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Общий объем просроченной кредиторской задолженности муниципальных образований  в Камчатском крае</w:t>
            </w:r>
          </w:p>
        </w:tc>
      </w:tr>
      <w:tr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3.5.</w:t>
            </w:r>
          </w:p>
        </w:tc>
        <w:tc>
          <w:tcPr>
            <w:tcW w:type="dxa" w:w="148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«Реализация мероприятий по контролю за соблюдением условий предоставления </w:t>
            </w:r>
            <w:r>
              <w:rPr>
                <w:rFonts w:ascii="Times New Roman" w:hAnsi="Times New Roman"/>
                <w:color w:val="000000"/>
              </w:rPr>
              <w:t>межбюджетных трансфертов местным бюджетам»</w:t>
            </w:r>
          </w:p>
        </w:tc>
      </w:tr>
      <w:tr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6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Министерство финансов Камчатского края</w:t>
            </w:r>
          </w:p>
        </w:tc>
        <w:tc>
          <w:tcPr>
            <w:tcW w:type="dxa" w:w="80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3.5.1.</w:t>
            </w:r>
          </w:p>
        </w:tc>
        <w:tc>
          <w:tcPr>
            <w:tcW w:type="dxa" w:w="6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1000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Осуществлен контроль за соблюдением требований бюджетного законодательства органами местного самоуправления муниципальных образований</w:t>
            </w:r>
          </w:p>
        </w:tc>
        <w:tc>
          <w:tcPr>
            <w:tcW w:type="dxa" w:w="3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10000">
            <w:pPr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Соблюдение требований </w:t>
            </w:r>
            <w:r>
              <w:rPr>
                <w:rFonts w:ascii="Times New Roman" w:hAnsi="Times New Roman"/>
                <w:color w:val="000000"/>
              </w:rPr>
              <w:t>бюджетного законодательства участниками бюджетного процесса на местном уровне,  оздоровление муниципальных финансов</w:t>
            </w:r>
          </w:p>
        </w:tc>
        <w:tc>
          <w:tcPr>
            <w:tcW w:type="dxa" w:w="4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1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type="dxa" w:w="1481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 Направление (подпрограмма) «Обеспечение реализации государственной программы»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4.1.</w:t>
            </w:r>
          </w:p>
        </w:tc>
        <w:tc>
          <w:tcPr>
            <w:tcW w:type="dxa" w:w="14815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«Обеспечение </w:t>
            </w:r>
            <w:r>
              <w:rPr>
                <w:rFonts w:ascii="Times New Roman" w:hAnsi="Times New Roman"/>
                <w:color w:val="000000"/>
              </w:rPr>
              <w:t>деятельности Министерства финансов Камчатского края и подведомственных учреждений»</w:t>
            </w:r>
          </w:p>
        </w:tc>
      </w:tr>
      <w:tr>
        <w:tc>
          <w:tcPr>
            <w:tcW w:type="dxa" w:w="78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6806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Министерство финансов Камчатского края</w:t>
            </w:r>
          </w:p>
        </w:tc>
        <w:tc>
          <w:tcPr>
            <w:tcW w:type="dxa" w:w="8009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>
        <w:tc>
          <w:tcPr>
            <w:tcW w:type="dxa" w:w="78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4.1.1.</w:t>
            </w:r>
          </w:p>
        </w:tc>
        <w:tc>
          <w:tcPr>
            <w:tcW w:type="dxa" w:w="6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1000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Качественно, своевременно и эффективно осуществлены полномочия Министерства финансов Камчатского края и подведомственных </w:t>
            </w:r>
            <w:r>
              <w:rPr>
                <w:rFonts w:ascii="Times New Roman" w:hAnsi="Times New Roman"/>
                <w:color w:val="000000"/>
              </w:rPr>
              <w:t>учреждений</w:t>
            </w:r>
          </w:p>
        </w:tc>
        <w:tc>
          <w:tcPr>
            <w:tcW w:type="dxa" w:w="3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10000">
            <w:pPr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Реализованы мероприятия, связанные с содержанием Министерства финансов Камчатского края и подведомственных учреждений</w:t>
            </w:r>
          </w:p>
        </w:tc>
        <w:tc>
          <w:tcPr>
            <w:tcW w:type="dxa" w:w="4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</w:tbl>
    <w:p w14:paraId="59010000">
      <w:pPr>
        <w:spacing w:before="74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br w:type="page"/>
      </w:r>
    </w:p>
    <w:p w14:paraId="5A010000">
      <w:pPr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 Финансовое обеспечение государственной программы</w:t>
      </w:r>
    </w:p>
    <w:p w14:paraId="5B010000">
      <w:pPr>
        <w:ind/>
        <w:jc w:val="center"/>
        <w:rPr>
          <w:rFonts w:ascii="Times New Roman" w:hAnsi="Times New Roman"/>
          <w:color w:val="000000"/>
        </w:rPr>
      </w:pPr>
    </w:p>
    <w:tbl>
      <w:tblPr>
        <w:tblStyle w:val="Style_1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3185"/>
        <w:gridCol w:w="1620"/>
        <w:gridCol w:w="1620"/>
        <w:gridCol w:w="1545"/>
        <w:gridCol w:w="1500"/>
        <w:gridCol w:w="1500"/>
        <w:gridCol w:w="1560"/>
        <w:gridCol w:w="1500"/>
        <w:gridCol w:w="1710"/>
      </w:tblGrid>
      <w:tr>
        <w:tc>
          <w:tcPr>
            <w:tcW w:type="dxa" w:w="31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C010000">
            <w:pPr>
              <w:pStyle w:val="Style_2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Наименование государственной программы,</w:t>
            </w:r>
            <w:r>
              <w:rPr>
                <w:rFonts w:ascii="Times New Roman" w:hAnsi="Times New Roman"/>
                <w:b w:val="0"/>
                <w:color w:val="000000"/>
              </w:rPr>
              <w:t xml:space="preserve"> структурного элемента / источник финансового обсечения</w:t>
            </w:r>
          </w:p>
        </w:tc>
        <w:tc>
          <w:tcPr>
            <w:tcW w:type="dxa" w:w="12555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D010000">
            <w:pPr>
              <w:pStyle w:val="Style_2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Объем финансового обеспечения по годам реализации, тыс. руб.</w:t>
            </w:r>
          </w:p>
        </w:tc>
      </w:tr>
      <w:tr>
        <w:trPr>
          <w:trHeight w:hRule="atLeast" w:val="578"/>
        </w:trPr>
        <w:tc>
          <w:tcPr>
            <w:tcW w:type="dxa" w:w="31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  <w:tc>
          <w:tcPr>
            <w:tcW w:type="dxa" w:w="16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E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</w:tc>
        <w:tc>
          <w:tcPr>
            <w:tcW w:type="dxa" w:w="162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F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</w:tc>
        <w:tc>
          <w:tcPr>
            <w:tcW w:type="dxa" w:w="154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0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</w:tc>
        <w:tc>
          <w:tcPr>
            <w:tcW w:type="dxa" w:w="150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1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</w:tc>
        <w:tc>
          <w:tcPr>
            <w:tcW w:type="dxa" w:w="150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2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</w:t>
            </w:r>
          </w:p>
        </w:tc>
        <w:tc>
          <w:tcPr>
            <w:tcW w:type="dxa" w:w="156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3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2029</w:t>
            </w:r>
          </w:p>
        </w:tc>
        <w:tc>
          <w:tcPr>
            <w:tcW w:type="dxa" w:w="150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4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2030</w:t>
            </w:r>
          </w:p>
        </w:tc>
        <w:tc>
          <w:tcPr>
            <w:tcW w:type="dxa" w:w="171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5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</w:tr>
    </w:tbl>
    <w:p w14:paraId="66010000">
      <w:pPr>
        <w:pStyle w:val="Style_4"/>
        <w:rPr>
          <w:rFonts w:ascii="Times New Roman" w:hAnsi="Times New Roman"/>
          <w:color w:val="000000"/>
        </w:rPr>
      </w:pPr>
    </w:p>
    <w:tbl>
      <w:tblPr>
        <w:tblStyle w:val="Style_1"/>
        <w:tblInd w:type="dxa" w:w="29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3151"/>
        <w:gridCol w:w="1635"/>
        <w:gridCol w:w="1620"/>
        <w:gridCol w:w="1545"/>
        <w:gridCol w:w="1500"/>
        <w:gridCol w:w="1500"/>
        <w:gridCol w:w="1560"/>
        <w:gridCol w:w="1500"/>
        <w:gridCol w:w="1695"/>
      </w:tblGrid>
      <w:tr>
        <w:trPr>
          <w:tblHeader/>
        </w:trPr>
        <w:tc>
          <w:tcPr>
            <w:tcW w:type="dxa" w:w="315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62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1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1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0010000">
            <w:pPr>
              <w:widowControl w:val="0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Государственная программа «Управление государственными финансами </w:t>
            </w:r>
            <w:r>
              <w:rPr>
                <w:rFonts w:ascii="Times New Roman" w:hAnsi="Times New Roman"/>
                <w:color w:val="000000"/>
              </w:rPr>
              <w:t>в Камчатском крае» (всего), в том числе: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1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11 157 985,25906</w:t>
            </w:r>
          </w:p>
        </w:tc>
        <w:tc>
          <w:tcPr>
            <w:tcW w:type="dxa" w:w="1620"/>
            <w:tcBorders>
              <w:top w:color="000000" w:sz="4" w:val="single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2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8 340 006,91515</w:t>
            </w:r>
          </w:p>
        </w:tc>
        <w:tc>
          <w:tcPr>
            <w:tcW w:type="dxa" w:w="1545"/>
            <w:tcBorders>
              <w:top w:color="000000" w:sz="4" w:val="single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3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8 363 684,68583</w:t>
            </w:r>
          </w:p>
        </w:tc>
        <w:tc>
          <w:tcPr>
            <w:tcW w:type="dxa" w:w="1500"/>
            <w:tcBorders>
              <w:top w:color="000000" w:sz="4" w:val="single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4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6 224 759,62647</w:t>
            </w:r>
          </w:p>
        </w:tc>
        <w:tc>
          <w:tcPr>
            <w:tcW w:type="dxa" w:w="1500"/>
            <w:tcBorders>
              <w:top w:color="000000" w:sz="4" w:val="single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5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6 217 297,06420</w:t>
            </w:r>
          </w:p>
        </w:tc>
        <w:tc>
          <w:tcPr>
            <w:tcW w:type="dxa" w:w="1560"/>
            <w:tcBorders>
              <w:top w:color="000000" w:sz="4" w:val="single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6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6 210 139,87296</w:t>
            </w:r>
          </w:p>
        </w:tc>
        <w:tc>
          <w:tcPr>
            <w:tcW w:type="dxa" w:w="1500"/>
            <w:tcBorders>
              <w:top w:color="000000" w:sz="4" w:val="single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7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6 202 788,15713</w:t>
            </w:r>
          </w:p>
        </w:tc>
        <w:tc>
          <w:tcPr>
            <w:tcW w:type="dxa" w:w="1695"/>
            <w:tcBorders>
              <w:top w:color="000000" w:sz="4" w:val="single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8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52 716 661,58080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9010000">
            <w:pPr>
              <w:widowControl w:val="0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субъекта Российской Федерации (всего), из них: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A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11 157 985,25906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B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8 340 006,91515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C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8 363 684,68583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D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6 224 759,62647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E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6 217 297,06420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F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6 210 139,87296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0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6 202 788,15713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1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52 716 661,58080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2010000">
            <w:pPr>
              <w:widowControl w:val="0"/>
              <w:ind w:firstLine="0" w:left="283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том числе межбюджетные трансферты из федерального бюджет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3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4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5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6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7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8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9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A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B010000">
            <w:pPr>
              <w:widowControl w:val="0"/>
              <w:ind w:firstLine="0" w:left="283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том числе межбюджетные</w:t>
            </w:r>
            <w:r>
              <w:rPr>
                <w:rFonts w:ascii="Times New Roman" w:hAnsi="Times New Roman"/>
                <w:color w:val="000000"/>
              </w:rPr>
              <w:t xml:space="preserve"> трансферты из иных бюджетов бюджетной системы Российской Федерации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C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D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E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F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0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1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2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3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4010000">
            <w:pPr>
              <w:widowControl w:val="0"/>
              <w:ind w:firstLine="0" w:left="283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 местным бюджетам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5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6 755 836,31812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6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5 662 433,50312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7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5 592 603,50312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8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5 592 603,50312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9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5 592 603,50312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A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5 592 603,50312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B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5 592 603,50312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C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40 381 287,33684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D010000">
            <w:pPr>
              <w:widowControl w:val="0"/>
              <w:ind w:firstLine="0" w:left="283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E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F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0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1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2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3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4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5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6010000">
            <w:pPr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7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8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9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A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B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C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D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E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F010000">
            <w:pPr>
              <w:widowControl w:val="0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Консолидированные бюджеты муниципальных </w:t>
            </w:r>
            <w:r>
              <w:rPr>
                <w:rFonts w:ascii="Times New Roman" w:hAnsi="Times New Roman"/>
                <w:color w:val="000000"/>
              </w:rPr>
              <w:t>образований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0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1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2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3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4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5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6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7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8010000">
            <w:pPr>
              <w:widowControl w:val="0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9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A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B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C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D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E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F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0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1010000">
            <w:pPr>
              <w:widowControl w:val="0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Объем налоговых расходов субъекта Российской Федерации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2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3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4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5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6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7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8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9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A01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«Оптимизация и повышение эффективности расходов краевого бюджета» (всего), в том числе: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B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C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D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E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F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0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1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2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301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</w:t>
            </w:r>
            <w:r>
              <w:rPr>
                <w:rFonts w:ascii="Times New Roman" w:hAnsi="Times New Roman"/>
                <w:color w:val="000000"/>
              </w:rPr>
              <w:t xml:space="preserve"> субъекта Российской Федерации (всего), из них: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4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5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6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7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8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9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A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B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C01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D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E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F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0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1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2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3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4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5010000">
            <w:pPr>
              <w:pStyle w:val="Style_3"/>
              <w:ind w:firstLine="0" w:left="283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в том числе межбюджетные трансферты из иных бюджетов бюджетной системы</w:t>
            </w:r>
          </w:p>
          <w:p w14:paraId="E601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Российской Федерации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7010000">
            <w:pPr>
              <w:spacing w:after="120" w:before="15"/>
              <w:ind w:firstLine="0" w:left="15" w:right="15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 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8010000">
            <w:pPr>
              <w:spacing w:after="120" w:before="15"/>
              <w:ind w:firstLine="0" w:left="15" w:right="15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 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9010000">
            <w:pPr>
              <w:spacing w:after="120" w:before="15"/>
              <w:ind w:firstLine="0" w:left="15" w:right="15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 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A010000">
            <w:pPr>
              <w:spacing w:after="120" w:before="15"/>
              <w:ind w:firstLine="0" w:left="15" w:right="15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 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B010000">
            <w:pPr>
              <w:spacing w:after="120" w:before="15"/>
              <w:ind w:firstLine="0" w:left="15" w:right="15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 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C010000">
            <w:pPr>
              <w:spacing w:after="120" w:before="15"/>
              <w:ind w:firstLine="0" w:left="15" w:right="15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 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D010000">
            <w:pPr>
              <w:spacing w:after="120" w:before="15"/>
              <w:ind w:firstLine="0" w:left="15" w:right="15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 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E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F01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 местным бюджетам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0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1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2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3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4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5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6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7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801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9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A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B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C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D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E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F01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0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102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территориального </w:t>
            </w:r>
            <w:r>
              <w:rPr>
                <w:rFonts w:ascii="Times New Roman" w:hAnsi="Times New Roman"/>
                <w:color w:val="000000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2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3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4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5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6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7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8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9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A02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B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C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D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E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F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0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1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2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3020000">
            <w:pPr>
              <w:widowControl w:val="0"/>
              <w:ind w:firstLine="147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4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5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6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7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8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9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A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B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C02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«Повышение открытости и доступности информации о бюджетном процессе в Камчатском крае» (всего), в том </w:t>
            </w:r>
            <w:r>
              <w:rPr>
                <w:rFonts w:ascii="Times New Roman" w:hAnsi="Times New Roman"/>
                <w:color w:val="000000"/>
              </w:rPr>
              <w:t>числе: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D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E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F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0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1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2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3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4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502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субъекта Российской Федерации (всего), из них: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6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7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8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9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A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B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C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D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E02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F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0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1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2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3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4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5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6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7020000">
            <w:pPr>
              <w:pStyle w:val="Style_3"/>
              <w:ind w:firstLine="0" w:left="283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в том числе межбюджетные трансферты из иных бюджетов бюджетной системы</w:t>
            </w:r>
          </w:p>
          <w:p w14:paraId="3802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Российской Федерации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9020000">
            <w:pPr>
              <w:spacing w:after="120" w:before="15"/>
              <w:ind w:firstLine="0" w:left="15" w:right="15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 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A020000">
            <w:pPr>
              <w:spacing w:after="120" w:before="15"/>
              <w:ind w:firstLine="0" w:left="15" w:right="15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 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B020000">
            <w:pPr>
              <w:spacing w:after="120" w:before="15"/>
              <w:ind w:firstLine="0" w:left="15" w:right="15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 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C020000">
            <w:pPr>
              <w:spacing w:after="120" w:before="15"/>
              <w:ind w:firstLine="0" w:left="15" w:right="15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 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D020000">
            <w:pPr>
              <w:spacing w:after="120" w:before="15"/>
              <w:ind w:firstLine="0" w:left="15" w:right="15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 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E020000">
            <w:pPr>
              <w:spacing w:after="120" w:before="15"/>
              <w:ind w:firstLine="0" w:left="15" w:right="15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 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F020000">
            <w:pPr>
              <w:spacing w:after="120" w:before="15"/>
              <w:ind w:firstLine="0" w:left="15" w:right="15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 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0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102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 местным бюджетам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2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3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4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5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6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7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8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9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A02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B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C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D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E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F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0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1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2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302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4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5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6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7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8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9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A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B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C02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D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E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F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0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1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2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3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4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5020000">
            <w:pPr>
              <w:widowControl w:val="0"/>
              <w:ind w:firstLine="147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6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7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8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9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A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B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C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D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E02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«Управление государственным долгом» (всего), в том числе: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F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1 453 550,94694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0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2 125 104,54803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1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2 218 584,11871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2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79 659,05935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3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72 196,49708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4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65 039,30584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5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57 687,59001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6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6 071 822,06596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702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субъекта Российской Федерации (всего), из них: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8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1 453 550,94694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9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2 125 104,54803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A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2 218 584,11871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B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79 659,05935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C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72 196,49708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D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65 039,30584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E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57 687,59001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F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6 071 822,06596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002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1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2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3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4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5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6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7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8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9020000">
            <w:pPr>
              <w:pStyle w:val="Style_3"/>
              <w:ind w:firstLine="0" w:left="283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в том числе межбюджетные трансферты из иных бюджетов бюджетной системы</w:t>
            </w:r>
          </w:p>
          <w:p w14:paraId="8A02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Российской Федерации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B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C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D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E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F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0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1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2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302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 местным бюджетам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4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5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6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7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8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9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A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B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C02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D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E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F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0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1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2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3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4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502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территориального </w:t>
            </w:r>
            <w:r>
              <w:rPr>
                <w:rFonts w:ascii="Times New Roman" w:hAnsi="Times New Roman"/>
                <w:color w:val="000000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6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7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8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9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A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B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C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D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rPr>
          <w:trHeight w:hRule="atLeast" w:val="296"/>
        </w:trP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E02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F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0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1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2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3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4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5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6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7020000">
            <w:pPr>
              <w:widowControl w:val="0"/>
              <w:ind w:firstLine="147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8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9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A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B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C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D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E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F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002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«Управление средствами резервных фондов и резервами ассигнований, созданных в соответствии с </w:t>
            </w:r>
            <w:r>
              <w:rPr>
                <w:rFonts w:ascii="Times New Roman" w:hAnsi="Times New Roman"/>
                <w:color w:val="000000"/>
              </w:rPr>
              <w:t>законодательством Российской Федерации и Камчатского края» (всего), в том числе: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1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2 728 870,46000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2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332 741,33000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3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332 769,53000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4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332 769,53000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5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332 769,53000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6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332 769,53000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7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332 769,53000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8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4 725 459,44000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902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субъекта Российской Федерации (всего),</w:t>
            </w:r>
            <w:r>
              <w:rPr>
                <w:rFonts w:ascii="Times New Roman" w:hAnsi="Times New Roman"/>
                <w:color w:val="000000"/>
              </w:rPr>
              <w:t xml:space="preserve"> из них: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A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2 728 870,46000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B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332 741,33000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C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332 769,53000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D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332 769,53000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E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332 769,53000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F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332 769,53000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0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332 769,53000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1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4 725 459,44000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202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3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4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5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6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7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8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9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A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B020000">
            <w:pPr>
              <w:pStyle w:val="Style_3"/>
              <w:ind w:firstLine="0" w:left="283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в том числе межбюджетные трансферты из иных бюджетов бюджетной системы</w:t>
            </w:r>
          </w:p>
          <w:p w14:paraId="DC02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Российской Федерации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D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E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F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0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1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2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3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4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502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 местным бюджетам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6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7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8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9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A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B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C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D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E02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F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0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1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2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3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4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5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6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702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</w:t>
            </w:r>
            <w:r>
              <w:rPr>
                <w:rFonts w:ascii="Times New Roman" w:hAnsi="Times New Roman"/>
                <w:color w:val="000000"/>
              </w:rPr>
              <w:t>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8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9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A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B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C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D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E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F02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003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1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2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3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4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5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6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7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8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9030000">
            <w:pPr>
              <w:widowControl w:val="0"/>
              <w:ind w:firstLine="147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A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B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C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D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E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F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0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1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203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Ведомственный проект «Создание условий для участия граждан в принятии бюджетных решений для решения городских </w:t>
            </w:r>
            <w:r>
              <w:rPr>
                <w:rFonts w:ascii="Times New Roman" w:hAnsi="Times New Roman"/>
                <w:color w:val="000000"/>
              </w:rPr>
              <w:t>(сельских) проблем» (всего), в том числе: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3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4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5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6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7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8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9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A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B03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субъекта Российской Федерации (всего), из них: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C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D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E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F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0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1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2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3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403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5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6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7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8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9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A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B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C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D030000">
            <w:pPr>
              <w:pStyle w:val="Style_3"/>
              <w:ind w:firstLine="0" w:left="283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в том числе межбюджетные трансферты из иных бюджетов бюджетной системы</w:t>
            </w:r>
          </w:p>
          <w:p w14:paraId="2E03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Российской Федерации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F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0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1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2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3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4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5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6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703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 местным бюджетам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8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9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A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B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C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D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E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F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003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1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2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3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4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5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6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7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8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903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A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B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C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D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E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F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0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1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203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Консолидированные бюджеты </w:t>
            </w:r>
            <w:r>
              <w:rPr>
                <w:rFonts w:ascii="Times New Roman" w:hAnsi="Times New Roman"/>
                <w:color w:val="000000"/>
              </w:rPr>
              <w:t>муниципальных образований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3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4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5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6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7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8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9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A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B030000">
            <w:pPr>
              <w:widowControl w:val="0"/>
              <w:ind w:firstLine="147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C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D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E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F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0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1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2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3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403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«Реализация мероприятий по выравниванию бюджетной обеспеченности муниципальных образований, обеспечению сбалансировнности местных бюджетов» (всего), в том числе: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5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3 547 461,31812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6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2 554 058,50312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7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2 484 228,50312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8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2 484 228,50312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9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2 484 228,50312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A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2 484 228,50312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B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2 484 228,50312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C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18 522 662,33684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D03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субъекта Российской Федерации (всего), из них: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E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3 547 461,31812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F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2 554 058,50312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0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2 484 228,50312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1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2 484 228,50312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2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2 484 228,50312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3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2 484 228,50312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4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2 484 228,50312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5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18 522 662,33684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603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7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8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9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A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B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C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D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E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F030000">
            <w:pPr>
              <w:pStyle w:val="Style_3"/>
              <w:ind w:firstLine="0" w:left="283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в том числе межбюджетные трансферты из иных бюджетов бюджетной системы</w:t>
            </w:r>
          </w:p>
          <w:p w14:paraId="8003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Российской Федерации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1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2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3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4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5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6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7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8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903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 местным бюджетам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A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3 547 461,31812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B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2 554 058,50312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C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2 484 228,50312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D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2 484 228,50312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E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2 484 228,50312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F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2 484 228,50312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0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2 484 228,50312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1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18 522 662,33684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203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3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4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5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6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7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8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9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A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B03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территориального </w:t>
            </w:r>
            <w:r>
              <w:rPr>
                <w:rFonts w:ascii="Times New Roman" w:hAnsi="Times New Roman"/>
                <w:color w:val="000000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C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D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E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F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0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1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2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3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403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5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6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7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8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9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A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B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C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rPr>
          <w:trHeight w:hRule="atLeast" w:val="271"/>
        </w:trP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D030000">
            <w:pPr>
              <w:widowControl w:val="0"/>
              <w:ind w:firstLine="147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E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F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0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1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2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3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4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5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603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«Реализация мероприятий по содействию в решении вопросов местного значения муниципальных образований в</w:t>
            </w:r>
            <w:r>
              <w:rPr>
                <w:rFonts w:ascii="Times New Roman" w:hAnsi="Times New Roman"/>
                <w:color w:val="000000"/>
              </w:rPr>
              <w:t xml:space="preserve"> Камчатском крае» (всего), в том числе: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7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3 108 375,00000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8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3 108 375,00000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9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3 108 375,00000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A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3 108 375,00000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B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3 108 375,00000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C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3 108 375,00000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D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3 108 375,00000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E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21 758 625,00000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F03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субъекта Российской Федерации (всего), из них: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0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3 108 375,00000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1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3 108 375,00000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2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3 108 375,00000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3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3 108 375,00000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4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3 108 375,00000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5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3 108 375,00000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6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3 108 375,00000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7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21 758 625,00000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803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9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A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B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C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D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E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F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0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1030000">
            <w:pPr>
              <w:pStyle w:val="Style_3"/>
              <w:ind w:firstLine="0" w:left="283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в том числе межбюджетные трансферты из иных бюджетов бюджетной системы</w:t>
            </w:r>
          </w:p>
          <w:p w14:paraId="D203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Российской Федерации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3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4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5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6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7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8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9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A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B03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 местным бюджетам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C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3 108 375,00000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D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3 108 375,00000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E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3 108 375,00000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F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3 108 375,00000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0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3 108 375,00000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1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3 108 375,00000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2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3 108 375,00000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3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21 758 625,00000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403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5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6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7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8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9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A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B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C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D03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E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F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0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1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2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3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4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5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603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7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8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9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A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B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C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D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E03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F030000">
            <w:pPr>
              <w:widowControl w:val="0"/>
              <w:ind w:firstLine="147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0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1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2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3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4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5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6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7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804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«Стимулирование </w:t>
            </w:r>
            <w:r>
              <w:rPr>
                <w:rFonts w:ascii="Times New Roman" w:hAnsi="Times New Roman"/>
                <w:color w:val="000000"/>
              </w:rPr>
              <w:t>органов местного самоуправления по итогам оценки деятельности органов местного самоуправления муниципальных образований» (всего), в том числе: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9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100 000,00000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A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B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C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D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E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0F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0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100 000,00000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104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субъекта Российской Федерации</w:t>
            </w:r>
            <w:r>
              <w:rPr>
                <w:rFonts w:ascii="Times New Roman" w:hAnsi="Times New Roman"/>
                <w:color w:val="000000"/>
              </w:rPr>
              <w:t xml:space="preserve"> (всего), из них: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2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100 000,00000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3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4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5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6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7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8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9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100 000,00000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A04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B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C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D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E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1F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0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1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2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3040000">
            <w:pPr>
              <w:pStyle w:val="Style_3"/>
              <w:ind w:firstLine="0" w:left="283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в том числе межбюджетные трансферты из иных бюджетов бюджетной системы</w:t>
            </w:r>
          </w:p>
          <w:p w14:paraId="2404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Российской Федерации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5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6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7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8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9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A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B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C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D04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 местным бюджетам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E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100 000,00000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2F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0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1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2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3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4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5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100 000,00000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604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7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8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9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A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B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C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D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E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3F04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</w:t>
            </w:r>
            <w:r>
              <w:rPr>
                <w:rFonts w:ascii="Times New Roman" w:hAnsi="Times New Roman"/>
                <w:color w:val="000000"/>
              </w:rPr>
              <w:t>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0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1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2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3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4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5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6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7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4804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9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A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B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C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D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E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4F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0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1040000">
            <w:pPr>
              <w:widowControl w:val="0"/>
              <w:ind w:firstLine="147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2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3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4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5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6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7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8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9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5A04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«Реализация мероприятий по контролю за соблюдением условий предоставления </w:t>
            </w:r>
            <w:r>
              <w:rPr>
                <w:rFonts w:ascii="Times New Roman" w:hAnsi="Times New Roman"/>
                <w:color w:val="000000"/>
              </w:rPr>
              <w:t>межбюджетных трансфертов местным бюджетам» (всего), в том числе: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B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C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D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E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5F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0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1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2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304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субъекта Российской Федерации (всего), из них: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4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5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6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7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8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9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A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B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6C04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 том </w:t>
            </w:r>
            <w:r>
              <w:rPr>
                <w:rFonts w:ascii="Times New Roman" w:hAnsi="Times New Roman"/>
                <w:color w:val="000000"/>
              </w:rPr>
              <w:t>числе межбюджетные трансферты из федерального бюджета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D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E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6F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0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1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2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3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4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5040000">
            <w:pPr>
              <w:pStyle w:val="Style_3"/>
              <w:ind w:firstLine="0" w:left="283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в том числе межбюджетные трансферты из иных бюджетов бюджетной системы</w:t>
            </w:r>
          </w:p>
          <w:p w14:paraId="7604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Российской Федерации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7040000">
            <w:pPr>
              <w:spacing w:after="120" w:before="15"/>
              <w:ind w:firstLine="0" w:left="15" w:right="15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 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8040000">
            <w:pPr>
              <w:spacing w:after="120" w:before="15"/>
              <w:ind w:firstLine="0" w:left="15" w:right="15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 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9040000">
            <w:pPr>
              <w:spacing w:after="120" w:before="15"/>
              <w:ind w:firstLine="0" w:left="15" w:right="15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 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A040000">
            <w:pPr>
              <w:spacing w:after="120" w:before="15"/>
              <w:ind w:firstLine="0" w:left="15" w:right="15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 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B040000">
            <w:pPr>
              <w:spacing w:after="120" w:before="15"/>
              <w:ind w:firstLine="0" w:left="15" w:right="15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 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C040000">
            <w:pPr>
              <w:spacing w:after="120" w:before="15"/>
              <w:ind w:firstLine="0" w:left="15" w:right="15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 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D040000">
            <w:pPr>
              <w:spacing w:after="120" w:before="15"/>
              <w:ind w:firstLine="0" w:left="15" w:right="15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 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7E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7F04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/>
                <w:color w:val="000000"/>
              </w:rPr>
              <w:t>трансферты местным бюджетам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0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1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2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3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4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5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6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7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8804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9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A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B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C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D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E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8F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0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104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2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3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4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5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6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7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8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9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9A04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B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C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D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E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9F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0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1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2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3040000">
            <w:pPr>
              <w:widowControl w:val="0"/>
              <w:ind w:firstLine="147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4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5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6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7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8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9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A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B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AC04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</w:rPr>
              <w:t>«Обеспечение деятельности Министерства финансов Камчатского края и подведомственных учреждений» (всего), в том числе: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D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219 727,53400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E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219 727,53400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AF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219 727,53400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0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219 727,53400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1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219 727,53400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2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219 727,53400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3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219 727,53400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4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1 538 092,73800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504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 субъекта </w:t>
            </w:r>
            <w:r>
              <w:rPr>
                <w:rFonts w:ascii="Times New Roman" w:hAnsi="Times New Roman"/>
                <w:color w:val="000000"/>
              </w:rPr>
              <w:t>Российской Федерации (всего), из них: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6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219 727,53400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7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219 727,53400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8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219 727,53400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9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219 727,53400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A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219 727,53400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B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219 727,53400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C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219 727,53400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D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1 538 092,73800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BE04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том числе межбюджетные трансферты из федерального бюджета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BF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0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1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2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3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4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5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6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C7040000">
            <w:pPr>
              <w:pStyle w:val="Style_3"/>
              <w:ind w:firstLine="0" w:left="283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в том числе межбюджетные трансферты из иных бюджетов бюджетной системы</w:t>
            </w:r>
          </w:p>
          <w:p w14:paraId="C804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Российской Федерации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9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A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B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C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D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E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CF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0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104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 местным бюджетам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2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3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4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5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6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7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8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9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DA040000">
            <w:pPr>
              <w:widowControl w:val="0"/>
              <w:ind w:firstLine="0" w:left="28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B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C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D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E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DF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0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1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2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304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4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5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6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7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8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9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A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B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C040000">
            <w:pPr>
              <w:widowControl w:val="0"/>
              <w:ind w:firstLine="0" w:lef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D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E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EF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0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1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2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3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4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  <w:tr>
        <w:tc>
          <w:tcPr>
            <w:tcW w:type="dxa" w:w="31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F5040000">
            <w:pPr>
              <w:widowControl w:val="0"/>
              <w:ind w:firstLine="147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type="dxa" w:w="1635"/>
            <w:tcBorders>
              <w:top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6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2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7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4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8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9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A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6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B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500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C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  <w:tc>
          <w:tcPr>
            <w:tcW w:type="dxa" w:w="1695"/>
            <w:tcBorders>
              <w:top w:val="nil"/>
              <w:left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FD040000">
            <w:pPr>
              <w:spacing w:after="120" w:before="15"/>
              <w:ind w:firstLine="0" w:left="15" w:right="15"/>
              <w:jc w:val="righ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2"/>
                <w:u w:val="none"/>
              </w:rPr>
              <w:t>0,00000</w:t>
            </w:r>
          </w:p>
        </w:tc>
      </w:tr>
    </w:tbl>
    <w:p w14:paraId="FE040000">
      <w:pPr>
        <w:ind/>
        <w:jc w:val="center"/>
        <w:rPr>
          <w:rFonts w:ascii="Times New Roman" w:hAnsi="Times New Roman"/>
          <w:color w:val="000000"/>
        </w:rPr>
      </w:pPr>
    </w:p>
    <w:p w14:paraId="FF040000">
      <w:pPr>
        <w:ind/>
        <w:jc w:val="center"/>
        <w:rPr>
          <w:rFonts w:ascii="Times New Roman" w:hAnsi="Times New Roman"/>
          <w:color w:val="000000"/>
        </w:rPr>
      </w:pPr>
    </w:p>
    <w:p w14:paraId="00050000">
      <w:pPr>
        <w:ind/>
        <w:jc w:val="center"/>
        <w:rPr>
          <w:rFonts w:ascii="Times New Roman" w:hAnsi="Times New Roman"/>
          <w:color w:val="000000"/>
        </w:rPr>
      </w:pPr>
    </w:p>
    <w:p w14:paraId="01050000">
      <w:pPr>
        <w:pStyle w:val="Style_4"/>
        <w:rPr>
          <w:rFonts w:ascii="Times New Roman" w:hAnsi="Times New Roman"/>
          <w:color w:val="000000"/>
        </w:rPr>
      </w:pPr>
    </w:p>
    <w:p w14:paraId="02050000">
      <w:pPr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br w:type="page"/>
      </w:r>
    </w:p>
    <w:p w14:paraId="03050000">
      <w:pPr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Приложение 1</w:t>
      </w:r>
    </w:p>
    <w:p w14:paraId="04050000">
      <w:pPr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 государственной программе Камчатского края</w:t>
      </w:r>
    </w:p>
    <w:p w14:paraId="05050000">
      <w:pPr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«Управление государственными </w:t>
      </w:r>
      <w:r>
        <w:rPr>
          <w:rFonts w:ascii="Times New Roman" w:hAnsi="Times New Roman"/>
          <w:color w:val="000000"/>
        </w:rPr>
        <w:t>финансами Камчатского края»</w:t>
      </w:r>
    </w:p>
    <w:p w14:paraId="06050000">
      <w:pPr>
        <w:ind/>
        <w:jc w:val="center"/>
        <w:rPr>
          <w:rFonts w:ascii="Times New Roman" w:hAnsi="Times New Roman"/>
          <w:color w:val="000000"/>
        </w:rPr>
      </w:pPr>
    </w:p>
    <w:p w14:paraId="07050000">
      <w:pPr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 Реестр документов, входящих в состав государственной программы</w:t>
      </w:r>
    </w:p>
    <w:p w14:paraId="08050000">
      <w:pPr>
        <w:ind/>
        <w:jc w:val="center"/>
        <w:rPr>
          <w:rFonts w:ascii="Times New Roman" w:hAnsi="Times New Roman"/>
          <w:color w:val="000000"/>
        </w:rPr>
      </w:pPr>
    </w:p>
    <w:tbl>
      <w:tblPr>
        <w:tblStyle w:val="Style_1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1068"/>
        <w:gridCol w:w="2343"/>
        <w:gridCol w:w="2204"/>
        <w:gridCol w:w="3585"/>
        <w:gridCol w:w="1875"/>
        <w:gridCol w:w="2130"/>
        <w:gridCol w:w="2640"/>
      </w:tblGrid>
      <w:tr>
        <w:trPr>
          <w:tblHeader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9050000">
            <w:pPr>
              <w:pStyle w:val="Style_2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№ п/п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A050000">
            <w:pPr>
              <w:pStyle w:val="Style_2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Тип документа</w:t>
            </w:r>
          </w:p>
        </w:tc>
        <w:tc>
          <w:tcPr>
            <w:tcW w:type="dxa" w:w="220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B050000">
            <w:pPr>
              <w:pStyle w:val="Style_2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Вид документа</w:t>
            </w:r>
          </w:p>
        </w:tc>
        <w:tc>
          <w:tcPr>
            <w:tcW w:type="dxa" w:w="358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C050000">
            <w:pPr>
              <w:pStyle w:val="Style_2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Наименование документа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D050000">
            <w:pPr>
              <w:pStyle w:val="Style_2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Реквизиты</w:t>
            </w: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E050000">
            <w:pPr>
              <w:pStyle w:val="Style_2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Разработчик</w:t>
            </w:r>
          </w:p>
        </w:tc>
        <w:tc>
          <w:tcPr>
            <w:tcW w:type="dxa" w:w="2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F050000">
            <w:pPr>
              <w:pStyle w:val="Style_2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Гиперссылка на текст документа</w:t>
            </w:r>
          </w:p>
        </w:tc>
      </w:tr>
    </w:tbl>
    <w:p w14:paraId="10050000">
      <w:pPr>
        <w:pStyle w:val="Style_4"/>
        <w:rPr>
          <w:rFonts w:ascii="Times New Roman" w:hAnsi="Times New Roman"/>
          <w:color w:val="000000"/>
        </w:rPr>
      </w:pPr>
      <w:bookmarkStart w:id="1" w:name="_GoBack"/>
      <w:bookmarkEnd w:id="1"/>
    </w:p>
    <w:tbl>
      <w:tblPr>
        <w:tblStyle w:val="Style_1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1068"/>
        <w:gridCol w:w="2343"/>
        <w:gridCol w:w="2204"/>
        <w:gridCol w:w="3585"/>
        <w:gridCol w:w="1875"/>
        <w:gridCol w:w="2130"/>
        <w:gridCol w:w="2631"/>
      </w:tblGrid>
      <w:tr>
        <w:trPr>
          <w:tblHeader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105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205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220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305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358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405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505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605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26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705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</w:tr>
      <w:tr>
        <w:tc>
          <w:tcPr>
            <w:tcW w:type="dxa" w:w="15836"/>
            <w:gridSpan w:val="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1805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</w:rPr>
              <w:t>«Наименование»</w:t>
            </w:r>
          </w:p>
        </w:tc>
      </w:tr>
      <w:tr>
        <w:trPr>
          <w:trHeight w:hRule="atLeast" w:val="1539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5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type="dxa" w:w="2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50000">
            <w:pPr>
              <w:pStyle w:val="Style_3"/>
              <w:rPr>
                <w:rFonts w:ascii="Times New Roman" w:hAnsi="Times New Roman"/>
                <w:color w:val="000000"/>
              </w:rPr>
            </w:pPr>
            <w:r>
              <w:rPr>
                <w:rStyle w:val="Style_3_ch"/>
                <w:rFonts w:ascii="Times New Roman" w:hAnsi="Times New Roman"/>
                <w:color w:val="000000"/>
              </w:rPr>
              <w:t>Стратегические приоритеты государственной программы</w:t>
            </w:r>
          </w:p>
        </w:tc>
        <w:tc>
          <w:tcPr>
            <w:tcW w:type="dxa" w:w="22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50000">
            <w:pPr>
              <w:pStyle w:val="Style_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Постановление Правительства Камчатского края</w:t>
            </w:r>
          </w:p>
        </w:tc>
        <w:tc>
          <w:tcPr>
            <w:tcW w:type="dxa" w:w="35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50000">
            <w:pPr>
              <w:pStyle w:val="Style_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«Об утверждении государственной программы Камчатского края «Управление государственными финансами Камчатского края»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50000">
            <w:pPr>
              <w:pStyle w:val="Style_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 22.11.2013</w:t>
            </w:r>
          </w:p>
          <w:p w14:paraId="1E050000">
            <w:pPr>
              <w:pStyle w:val="Style_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 511-П</w:t>
            </w: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50000">
            <w:pPr>
              <w:pStyle w:val="Style_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Министерство финансов Камчатского края</w:t>
            </w:r>
          </w:p>
        </w:tc>
        <w:tc>
          <w:tcPr>
            <w:tcW w:type="dxa" w:w="26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5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106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5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50000">
            <w:pPr>
              <w:pStyle w:val="Style_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Правила предоставления межбюджетных трансфертов</w:t>
            </w:r>
          </w:p>
        </w:tc>
        <w:tc>
          <w:tcPr>
            <w:tcW w:type="dxa" w:w="2204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50000">
            <w:pPr>
              <w:pStyle w:val="Style_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Постановление Правительства Камчатского края</w:t>
            </w:r>
          </w:p>
        </w:tc>
        <w:tc>
          <w:tcPr>
            <w:tcW w:type="dxa" w:w="358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50000">
            <w:pPr>
              <w:spacing w:after="120" w:before="120"/>
              <w:ind w:firstLine="0" w:left="120" w:right="12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«Об утверждении государственной программы Камчатского края «Управление государственными финансами Камчатского края»</w:t>
            </w:r>
          </w:p>
        </w:tc>
        <w:tc>
          <w:tcPr>
            <w:tcW w:type="dxa" w:w="1875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50000">
            <w:pPr>
              <w:spacing w:after="120" w:before="120"/>
              <w:ind w:firstLine="0" w:left="120" w:right="12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от </w:t>
            </w:r>
            <w:r>
              <w:rPr>
                <w:rFonts w:ascii="Times New Roman" w:hAnsi="Times New Roman"/>
                <w:color w:val="000000"/>
              </w:rPr>
              <w:t>22.11.2013 № 511-П</w:t>
            </w:r>
          </w:p>
        </w:tc>
        <w:tc>
          <w:tcPr>
            <w:tcW w:type="dxa" w:w="2130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50000">
            <w:pPr>
              <w:pStyle w:val="Style_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Министерство финансов Камчатского края</w:t>
            </w:r>
          </w:p>
        </w:tc>
        <w:tc>
          <w:tcPr>
            <w:tcW w:type="dxa" w:w="263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50000">
            <w:pPr>
              <w:pStyle w:val="Style_3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1068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5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type="dxa" w:w="2343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50000">
            <w:pPr>
              <w:rPr>
                <w:rFonts w:ascii="Times New Roman" w:hAnsi="Times New Roman"/>
                <w:color w:val="000000"/>
              </w:rPr>
            </w:pPr>
            <w:r>
              <w:rPr>
                <w:rStyle w:val="Style_3_ch"/>
                <w:rFonts w:ascii="Times New Roman" w:hAnsi="Times New Roman"/>
                <w:color w:val="000000"/>
              </w:rPr>
              <w:t>Методика расчета показателей</w:t>
            </w:r>
          </w:p>
        </w:tc>
        <w:tc>
          <w:tcPr>
            <w:tcW w:type="dxa" w:w="22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50000">
            <w:pPr>
              <w:pStyle w:val="Style_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Постановление Правительства Камчатского края</w:t>
            </w:r>
          </w:p>
        </w:tc>
        <w:tc>
          <w:tcPr>
            <w:tcW w:type="dxa" w:w="35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50000">
            <w:pPr>
              <w:spacing w:after="120" w:before="120"/>
              <w:ind w:firstLine="0" w:left="120" w:right="12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«Об утверждении государственной программы Камчатского края «Управление государственными финансами Камчатского края»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50000">
            <w:pPr>
              <w:spacing w:after="120" w:before="120"/>
              <w:ind w:firstLine="0" w:left="120" w:right="12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от </w:t>
            </w:r>
            <w:r>
              <w:rPr>
                <w:rFonts w:ascii="Times New Roman" w:hAnsi="Times New Roman"/>
                <w:color w:val="000000"/>
              </w:rPr>
              <w:t>22.11.2013 № 511-П</w:t>
            </w: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50000">
            <w:pPr>
              <w:pStyle w:val="Style_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Министерство финансов Камчатского края</w:t>
            </w:r>
          </w:p>
        </w:tc>
        <w:tc>
          <w:tcPr>
            <w:tcW w:type="dxa" w:w="263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50000">
            <w:pPr>
              <w:pStyle w:val="Style_3"/>
              <w:rPr>
                <w:rFonts w:ascii="Times New Roman" w:hAnsi="Times New Roman"/>
                <w:color w:val="000000"/>
              </w:rPr>
            </w:pPr>
          </w:p>
        </w:tc>
      </w:tr>
    </w:tbl>
    <w:p w14:paraId="2F050000">
      <w:pPr>
        <w:pStyle w:val="Style_4"/>
        <w:rPr>
          <w:rFonts w:ascii="Times New Roman" w:hAnsi="Times New Roman"/>
          <w:color w:val="FFFFFF"/>
        </w:rPr>
      </w:pPr>
      <w:r>
        <w:rPr>
          <w:rFonts w:ascii="Times New Roman" w:hAnsi="Times New Roman"/>
          <w:color w:val="FFFFFF"/>
        </w:rPr>
        <w:t>абзац</w:t>
      </w:r>
    </w:p>
    <w:p w14:paraId="30050000">
      <w:pPr>
        <w:pStyle w:val="Style_4"/>
        <w:rPr>
          <w:rFonts w:ascii="Times New Roman" w:hAnsi="Times New Roman"/>
          <w:color w:val="FFFFFF"/>
        </w:rPr>
      </w:pPr>
    </w:p>
    <w:sectPr>
      <w:pgSz w:h="11906" w:orient="landscape" w:w="16838"/>
      <w:pgMar w:bottom="567" w:footer="0" w:gutter="0" w:header="0" w:left="567" w:right="256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empora LGC Uni" w:hAnsi="Tempora LGC Uni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Основной шрифт абзаца1"/>
    <w:link w:val="Style_10_ch"/>
  </w:style>
  <w:style w:styleId="Style_10_ch" w:type="character">
    <w:name w:val="Основной шрифт абзаца1"/>
    <w:link w:val="Style_10"/>
  </w:style>
  <w:style w:styleId="Style_11" w:type="paragraph">
    <w:name w:val="caption"/>
    <w:basedOn w:val="Style_5"/>
    <w:link w:val="Style_11_ch"/>
    <w:pPr>
      <w:spacing w:after="120" w:before="120"/>
      <w:ind/>
    </w:pPr>
    <w:rPr>
      <w:i w:val="1"/>
    </w:rPr>
  </w:style>
  <w:style w:styleId="Style_11_ch" w:type="character">
    <w:name w:val="caption"/>
    <w:basedOn w:val="Style_5_ch"/>
    <w:link w:val="Style_11"/>
    <w:rPr>
      <w:i w:val="1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5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List Paragraph"/>
    <w:basedOn w:val="Style_5"/>
    <w:link w:val="Style_14_ch"/>
    <w:pPr>
      <w:spacing w:before="75"/>
      <w:ind w:hanging="202" w:left="603"/>
    </w:pPr>
    <w:rPr>
      <w:rFonts w:ascii="Times New Roman" w:hAnsi="Times New Roman"/>
    </w:rPr>
  </w:style>
  <w:style w:styleId="Style_14_ch" w:type="character">
    <w:name w:val="List Paragraph"/>
    <w:basedOn w:val="Style_5_ch"/>
    <w:link w:val="Style_14"/>
    <w:rPr>
      <w:rFonts w:ascii="Times New Roman" w:hAnsi="Times New Roman"/>
    </w:rPr>
  </w:style>
  <w:style w:styleId="Style_15" w:type="paragraph">
    <w:name w:val="List"/>
    <w:basedOn w:val="Style_4"/>
    <w:link w:val="Style_15_ch"/>
  </w:style>
  <w:style w:styleId="Style_15_ch" w:type="character">
    <w:name w:val="List"/>
    <w:basedOn w:val="Style_4_ch"/>
    <w:link w:val="Style_15"/>
  </w:style>
  <w:style w:styleId="Style_16" w:type="paragraph">
    <w:name w:val="Гиперссылка2"/>
    <w:link w:val="Style_16_ch"/>
    <w:rPr>
      <w:color w:val="0000FF"/>
      <w:u w:val="single"/>
    </w:rPr>
  </w:style>
  <w:style w:styleId="Style_16_ch" w:type="character">
    <w:name w:val="Гиперссылка2"/>
    <w:link w:val="Style_16"/>
    <w:rPr>
      <w:color w:val="0000FF"/>
      <w:u w:val="single"/>
    </w:rPr>
  </w:style>
  <w:style w:styleId="Style_17" w:type="paragraph">
    <w:name w:val="Обычный1"/>
    <w:link w:val="Style_17_ch"/>
  </w:style>
  <w:style w:styleId="Style_17_ch" w:type="character">
    <w:name w:val="Обычный1"/>
    <w:link w:val="Style_17"/>
  </w:style>
  <w:style w:styleId="Style_18" w:type="paragraph">
    <w:name w:val="Знак сноски1"/>
    <w:link w:val="Style_18_ch"/>
    <w:rPr>
      <w:vertAlign w:val="superscript"/>
    </w:rPr>
  </w:style>
  <w:style w:styleId="Style_18_ch" w:type="character">
    <w:name w:val="Знак сноски1"/>
    <w:link w:val="Style_18"/>
    <w:rPr>
      <w:vertAlign w:val="superscript"/>
    </w:rPr>
  </w:style>
  <w:style w:styleId="Style_4" w:type="paragraph">
    <w:name w:val="Body Text"/>
    <w:basedOn w:val="Style_5"/>
    <w:link w:val="Style_4_ch"/>
    <w:pPr>
      <w:spacing w:line="28" w:lineRule="exact"/>
      <w:ind/>
    </w:pPr>
  </w:style>
  <w:style w:styleId="Style_4_ch" w:type="character">
    <w:name w:val="Body Text"/>
    <w:basedOn w:val="Style_5_ch"/>
    <w:link w:val="Style_4"/>
  </w:style>
  <w:style w:styleId="Style_3" w:type="paragraph">
    <w:name w:val="Содержимое таблицы"/>
    <w:basedOn w:val="Style_5"/>
    <w:link w:val="Style_3_ch"/>
    <w:pPr>
      <w:widowControl w:val="0"/>
      <w:ind/>
    </w:pPr>
  </w:style>
  <w:style w:styleId="Style_3_ch" w:type="character">
    <w:name w:val="Содержимое таблицы"/>
    <w:basedOn w:val="Style_5_ch"/>
    <w:link w:val="Style_3"/>
  </w:style>
  <w:style w:styleId="Style_19" w:type="paragraph">
    <w:name w:val="Заголовок1"/>
    <w:basedOn w:val="Style_20"/>
    <w:link w:val="Style_19_ch"/>
    <w:rPr>
      <w:rFonts w:ascii="Open Sans" w:hAnsi="Open Sans"/>
      <w:sz w:val="28"/>
    </w:rPr>
  </w:style>
  <w:style w:styleId="Style_19_ch" w:type="character">
    <w:name w:val="Заголовок1"/>
    <w:basedOn w:val="Style_20_ch"/>
    <w:link w:val="Style_19"/>
    <w:rPr>
      <w:rFonts w:ascii="Open Sans" w:hAnsi="Open Sans"/>
      <w:sz w:val="28"/>
    </w:rPr>
  </w:style>
  <w:style w:styleId="Style_21" w:type="paragraph">
    <w:name w:val="toc 3"/>
    <w:next w:val="Style_5"/>
    <w:link w:val="Style_21_ch"/>
    <w:uiPriority w:val="39"/>
    <w:pPr>
      <w:ind w:firstLine="0" w:left="400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2" w:type="paragraph">
    <w:name w:val="Гиперссылка1"/>
    <w:link w:val="Style_22_ch"/>
    <w:rPr>
      <w:color w:val="000080"/>
      <w:u w:val="single"/>
    </w:rPr>
  </w:style>
  <w:style w:styleId="Style_22_ch" w:type="character">
    <w:name w:val="Гиперссылка1"/>
    <w:link w:val="Style_22"/>
    <w:rPr>
      <w:color w:val="000080"/>
      <w:u w:val="single"/>
    </w:rPr>
  </w:style>
  <w:style w:styleId="Style_23" w:type="paragraph">
    <w:name w:val="heading 5"/>
    <w:next w:val="Style_5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3_ch" w:type="character">
    <w:name w:val="heading 5"/>
    <w:link w:val="Style_23"/>
    <w:rPr>
      <w:rFonts w:ascii="XO Thames" w:hAnsi="XO Thames"/>
      <w:b w:val="1"/>
      <w:sz w:val="22"/>
    </w:rPr>
  </w:style>
  <w:style w:styleId="Style_24" w:type="paragraph">
    <w:name w:val="heading 1"/>
    <w:next w:val="Style_5"/>
    <w:link w:val="Style_2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4_ch" w:type="character">
    <w:name w:val="heading 1"/>
    <w:link w:val="Style_24"/>
    <w:rPr>
      <w:rFonts w:ascii="XO Thames" w:hAnsi="XO Thames"/>
      <w:b w:val="1"/>
      <w:sz w:val="32"/>
    </w:rPr>
  </w:style>
  <w:style w:styleId="Style_25" w:type="paragraph">
    <w:name w:val="annotation text"/>
    <w:basedOn w:val="Style_5"/>
    <w:link w:val="Style_25_ch"/>
    <w:rPr>
      <w:sz w:val="20"/>
    </w:rPr>
  </w:style>
  <w:style w:styleId="Style_25_ch" w:type="character">
    <w:name w:val="annotation text"/>
    <w:basedOn w:val="Style_5_ch"/>
    <w:link w:val="Style_25"/>
    <w:rPr>
      <w:sz w:val="20"/>
    </w:rPr>
  </w:style>
  <w:style w:styleId="Style_2" w:type="paragraph">
    <w:name w:val="Заголовок таблицы"/>
    <w:basedOn w:val="Style_3"/>
    <w:link w:val="Style_2_ch"/>
    <w:pPr>
      <w:ind/>
      <w:jc w:val="center"/>
    </w:pPr>
    <w:rPr>
      <w:b w:val="1"/>
    </w:rPr>
  </w:style>
  <w:style w:styleId="Style_2_ch" w:type="character">
    <w:name w:val="Заголовок таблицы"/>
    <w:basedOn w:val="Style_3_ch"/>
    <w:link w:val="Style_2"/>
    <w:rPr>
      <w:b w:val="1"/>
    </w:rPr>
  </w:style>
  <w:style w:styleId="Style_26" w:type="paragraph">
    <w:name w:val="index heading"/>
    <w:basedOn w:val="Style_5"/>
    <w:link w:val="Style_26_ch"/>
  </w:style>
  <w:style w:styleId="Style_26_ch" w:type="character">
    <w:name w:val="index heading"/>
    <w:basedOn w:val="Style_5_ch"/>
    <w:link w:val="Style_26"/>
  </w:style>
  <w:style w:styleId="Style_27" w:type="paragraph">
    <w:name w:val="Hyperlink"/>
    <w:link w:val="Style_27_ch"/>
    <w:rPr>
      <w:color w:val="0000FF"/>
      <w:u w:val="single"/>
    </w:rPr>
  </w:style>
  <w:style w:styleId="Style_27_ch" w:type="character">
    <w:name w:val="Hyperlink"/>
    <w:link w:val="Style_27"/>
    <w:rPr>
      <w:color w:val="0000FF"/>
      <w:u w:val="single"/>
    </w:rPr>
  </w:style>
  <w:style w:styleId="Style_28" w:type="paragraph">
    <w:name w:val="Footnote"/>
    <w:basedOn w:val="Style_5"/>
    <w:link w:val="Style_28_ch"/>
    <w:pPr>
      <w:ind w:hanging="340" w:left="340"/>
    </w:pPr>
    <w:rPr>
      <w:sz w:val="20"/>
    </w:rPr>
  </w:style>
  <w:style w:styleId="Style_28_ch" w:type="character">
    <w:name w:val="Footnote"/>
    <w:basedOn w:val="Style_5_ch"/>
    <w:link w:val="Style_28"/>
    <w:rPr>
      <w:sz w:val="20"/>
    </w:rPr>
  </w:style>
  <w:style w:styleId="Style_29" w:type="paragraph">
    <w:name w:val="toc 1"/>
    <w:next w:val="Style_5"/>
    <w:link w:val="Style_29_ch"/>
    <w:uiPriority w:val="39"/>
    <w:rPr>
      <w:rFonts w:ascii="XO Thames" w:hAnsi="XO Thames"/>
      <w:b w:val="1"/>
      <w:sz w:val="28"/>
    </w:rPr>
  </w:style>
  <w:style w:styleId="Style_29_ch" w:type="character">
    <w:name w:val="toc 1"/>
    <w:link w:val="Style_29"/>
    <w:rPr>
      <w:rFonts w:ascii="XO Thames" w:hAnsi="XO Thames"/>
      <w:b w:val="1"/>
      <w:sz w:val="28"/>
    </w:rPr>
  </w:style>
  <w:style w:styleId="Style_30" w:type="paragraph">
    <w:name w:val="Header and Footer"/>
    <w:link w:val="Style_30_ch"/>
    <w:pPr>
      <w:ind/>
      <w:jc w:val="both"/>
    </w:pPr>
    <w:rPr>
      <w:rFonts w:ascii="XO Thames" w:hAnsi="XO Thames"/>
      <w:sz w:val="20"/>
    </w:rPr>
  </w:style>
  <w:style w:styleId="Style_30_ch" w:type="character">
    <w:name w:val="Header and Footer"/>
    <w:link w:val="Style_30"/>
    <w:rPr>
      <w:rFonts w:ascii="XO Thames" w:hAnsi="XO Thames"/>
      <w:sz w:val="20"/>
    </w:rPr>
  </w:style>
  <w:style w:styleId="Style_31" w:type="paragraph">
    <w:name w:val="toc 9"/>
    <w:next w:val="Style_5"/>
    <w:link w:val="Style_31_ch"/>
    <w:uiPriority w:val="39"/>
    <w:pPr>
      <w:ind w:firstLine="0" w:left="1600"/>
    </w:pPr>
    <w:rPr>
      <w:rFonts w:ascii="XO Thames" w:hAnsi="XO Thames"/>
      <w:sz w:val="28"/>
    </w:rPr>
  </w:style>
  <w:style w:styleId="Style_31_ch" w:type="character">
    <w:name w:val="toc 9"/>
    <w:link w:val="Style_31"/>
    <w:rPr>
      <w:rFonts w:ascii="XO Thames" w:hAnsi="XO Thames"/>
      <w:sz w:val="28"/>
    </w:rPr>
  </w:style>
  <w:style w:styleId="Style_32" w:type="paragraph">
    <w:name w:val="toc 8"/>
    <w:next w:val="Style_5"/>
    <w:link w:val="Style_32_ch"/>
    <w:uiPriority w:val="39"/>
    <w:pPr>
      <w:ind w:firstLine="0" w:left="1400"/>
    </w:pPr>
    <w:rPr>
      <w:rFonts w:ascii="XO Thames" w:hAnsi="XO Thames"/>
      <w:sz w:val="28"/>
    </w:rPr>
  </w:style>
  <w:style w:styleId="Style_32_ch" w:type="character">
    <w:name w:val="toc 8"/>
    <w:link w:val="Style_32"/>
    <w:rPr>
      <w:rFonts w:ascii="XO Thames" w:hAnsi="XO Thames"/>
      <w:sz w:val="28"/>
    </w:rPr>
  </w:style>
  <w:style w:styleId="Style_33" w:type="paragraph">
    <w:name w:val="toc 5"/>
    <w:next w:val="Style_5"/>
    <w:link w:val="Style_33_ch"/>
    <w:uiPriority w:val="39"/>
    <w:pPr>
      <w:ind w:firstLine="0" w:left="800"/>
    </w:pPr>
    <w:rPr>
      <w:rFonts w:ascii="XO Thames" w:hAnsi="XO Thames"/>
      <w:sz w:val="28"/>
    </w:rPr>
  </w:style>
  <w:style w:styleId="Style_33_ch" w:type="character">
    <w:name w:val="toc 5"/>
    <w:link w:val="Style_33"/>
    <w:rPr>
      <w:rFonts w:ascii="XO Thames" w:hAnsi="XO Thames"/>
      <w:sz w:val="28"/>
    </w:rPr>
  </w:style>
  <w:style w:styleId="Style_34" w:type="paragraph">
    <w:name w:val="Знак примечания1"/>
    <w:basedOn w:val="Style_10"/>
    <w:link w:val="Style_34_ch"/>
    <w:rPr>
      <w:sz w:val="16"/>
    </w:rPr>
  </w:style>
  <w:style w:styleId="Style_34_ch" w:type="character">
    <w:name w:val="Знак примечания1"/>
    <w:basedOn w:val="Style_10_ch"/>
    <w:link w:val="Style_34"/>
    <w:rPr>
      <w:sz w:val="16"/>
    </w:rPr>
  </w:style>
  <w:style w:styleId="Style_20" w:type="paragraph">
    <w:name w:val="Обычный1"/>
    <w:link w:val="Style_20_ch"/>
  </w:style>
  <w:style w:styleId="Style_20_ch" w:type="character">
    <w:name w:val="Обычный1"/>
    <w:link w:val="Style_20"/>
  </w:style>
  <w:style w:styleId="Style_35" w:type="paragraph">
    <w:name w:val="Balloon Text"/>
    <w:basedOn w:val="Style_5"/>
    <w:link w:val="Style_35_ch"/>
    <w:rPr>
      <w:rFonts w:ascii="Segoe UI" w:hAnsi="Segoe UI"/>
      <w:sz w:val="18"/>
    </w:rPr>
  </w:style>
  <w:style w:styleId="Style_35_ch" w:type="character">
    <w:name w:val="Balloon Text"/>
    <w:basedOn w:val="Style_5_ch"/>
    <w:link w:val="Style_35"/>
    <w:rPr>
      <w:rFonts w:ascii="Segoe UI" w:hAnsi="Segoe UI"/>
      <w:sz w:val="18"/>
    </w:rPr>
  </w:style>
  <w:style w:styleId="Style_36" w:type="paragraph">
    <w:name w:val="Символ сноски"/>
    <w:link w:val="Style_36_ch"/>
    <w:rPr>
      <w:vertAlign w:val="superscript"/>
    </w:rPr>
  </w:style>
  <w:style w:styleId="Style_36_ch" w:type="character">
    <w:name w:val="Символ сноски"/>
    <w:link w:val="Style_36"/>
    <w:rPr>
      <w:vertAlign w:val="superscript"/>
    </w:rPr>
  </w:style>
  <w:style w:styleId="Style_37" w:type="paragraph">
    <w:name w:val="Subtitle"/>
    <w:next w:val="Style_5"/>
    <w:link w:val="Style_37_ch"/>
    <w:uiPriority w:val="11"/>
    <w:qFormat/>
    <w:pPr>
      <w:ind/>
      <w:jc w:val="both"/>
    </w:pPr>
    <w:rPr>
      <w:rFonts w:ascii="XO Thames" w:hAnsi="XO Thames"/>
      <w:i w:val="1"/>
    </w:rPr>
  </w:style>
  <w:style w:styleId="Style_37_ch" w:type="character">
    <w:name w:val="Subtitle"/>
    <w:link w:val="Style_37"/>
    <w:rPr>
      <w:rFonts w:ascii="XO Thames" w:hAnsi="XO Thames"/>
      <w:i w:val="1"/>
    </w:rPr>
  </w:style>
  <w:style w:styleId="Style_38" w:type="paragraph">
    <w:name w:val="Default Paragraph Font"/>
    <w:link w:val="Style_38_ch"/>
  </w:style>
  <w:style w:styleId="Style_38_ch" w:type="character">
    <w:name w:val="Default Paragraph Font"/>
    <w:link w:val="Style_38"/>
  </w:style>
  <w:style w:styleId="Style_39" w:type="paragraph">
    <w:name w:val="Title"/>
    <w:next w:val="Style_5"/>
    <w:link w:val="Style_3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9_ch" w:type="character">
    <w:name w:val="Title"/>
    <w:link w:val="Style_39"/>
    <w:rPr>
      <w:rFonts w:ascii="XO Thames" w:hAnsi="XO Thames"/>
      <w:b w:val="1"/>
      <w:caps w:val="1"/>
      <w:sz w:val="40"/>
    </w:rPr>
  </w:style>
  <w:style w:styleId="Style_40" w:type="paragraph">
    <w:name w:val="heading 4"/>
    <w:next w:val="Style_5"/>
    <w:link w:val="Style_4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</w:rPr>
  </w:style>
  <w:style w:styleId="Style_40_ch" w:type="character">
    <w:name w:val="heading 4"/>
    <w:link w:val="Style_40"/>
    <w:rPr>
      <w:rFonts w:ascii="XO Thames" w:hAnsi="XO Thames"/>
      <w:b w:val="1"/>
    </w:rPr>
  </w:style>
  <w:style w:styleId="Style_41" w:type="paragraph">
    <w:name w:val="Table Paragraph"/>
    <w:basedOn w:val="Style_5"/>
    <w:link w:val="Style_41_ch"/>
    <w:rPr>
      <w:rFonts w:ascii="Times New Roman" w:hAnsi="Times New Roman"/>
    </w:rPr>
  </w:style>
  <w:style w:styleId="Style_41_ch" w:type="character">
    <w:name w:val="Table Paragraph"/>
    <w:basedOn w:val="Style_5_ch"/>
    <w:link w:val="Style_41"/>
    <w:rPr>
      <w:rFonts w:ascii="Times New Roman" w:hAnsi="Times New Roman"/>
    </w:rPr>
  </w:style>
  <w:style w:styleId="Style_42" w:type="paragraph">
    <w:name w:val="heading 2"/>
    <w:next w:val="Style_5"/>
    <w:link w:val="Style_4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2_ch" w:type="character">
    <w:name w:val="heading 2"/>
    <w:link w:val="Style_42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2023-10-23T00:17:11Z</dcterms:modified>
</cp:coreProperties>
</file>