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F4" w:rsidRDefault="00FB38F4" w:rsidP="00FB38F4">
      <w:pPr>
        <w:spacing w:line="276" w:lineRule="auto"/>
        <w:rPr>
          <w:sz w:val="28"/>
          <w:szCs w:val="28"/>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pic:spPr>
                </pic:pic>
              </a:graphicData>
            </a:graphic>
            <wp14:sizeRelH relativeFrom="page">
              <wp14:pctWidth>0</wp14:pctWidth>
            </wp14:sizeRelH>
            <wp14:sizeRelV relativeFrom="page">
              <wp14:pctHeight>0</wp14:pctHeight>
            </wp14:sizeRelV>
          </wp:anchor>
        </w:drawing>
      </w:r>
    </w:p>
    <w:p w:rsidR="00FB38F4" w:rsidRDefault="00FB38F4" w:rsidP="00FB38F4">
      <w:pPr>
        <w:spacing w:line="360" w:lineRule="auto"/>
        <w:jc w:val="center"/>
        <w:rPr>
          <w:sz w:val="32"/>
          <w:szCs w:val="32"/>
        </w:rPr>
      </w:pPr>
    </w:p>
    <w:p w:rsidR="00FB38F4" w:rsidRDefault="00FB38F4" w:rsidP="00FB38F4">
      <w:pPr>
        <w:autoSpaceDE w:val="0"/>
        <w:autoSpaceDN w:val="0"/>
        <w:adjustRightInd w:val="0"/>
        <w:jc w:val="center"/>
        <w:rPr>
          <w:b/>
          <w:bCs/>
          <w:sz w:val="32"/>
          <w:szCs w:val="32"/>
        </w:rPr>
      </w:pPr>
    </w:p>
    <w:p w:rsidR="00FB38F4" w:rsidRDefault="00FB38F4" w:rsidP="00FB38F4">
      <w:pPr>
        <w:autoSpaceDE w:val="0"/>
        <w:autoSpaceDN w:val="0"/>
        <w:adjustRightInd w:val="0"/>
        <w:rPr>
          <w:b/>
          <w:bCs/>
          <w:sz w:val="32"/>
          <w:szCs w:val="32"/>
        </w:rPr>
      </w:pPr>
    </w:p>
    <w:p w:rsidR="00FB38F4" w:rsidRDefault="00FB38F4" w:rsidP="00FB38F4">
      <w:pPr>
        <w:jc w:val="center"/>
        <w:rPr>
          <w:b/>
          <w:sz w:val="28"/>
          <w:szCs w:val="28"/>
        </w:rPr>
      </w:pPr>
      <w:r>
        <w:rPr>
          <w:b/>
          <w:sz w:val="28"/>
          <w:szCs w:val="28"/>
        </w:rPr>
        <w:t>МИНИСТЕРСТВО ФИНАНСОВ</w:t>
      </w:r>
    </w:p>
    <w:p w:rsidR="00FB38F4" w:rsidRDefault="00FB38F4" w:rsidP="00FB38F4">
      <w:pPr>
        <w:jc w:val="center"/>
        <w:rPr>
          <w:b/>
          <w:sz w:val="28"/>
          <w:szCs w:val="28"/>
        </w:rPr>
      </w:pPr>
      <w:r>
        <w:rPr>
          <w:b/>
          <w:sz w:val="28"/>
          <w:szCs w:val="28"/>
        </w:rPr>
        <w:t>КАМЧАТСКОГО КРАЯ</w:t>
      </w:r>
    </w:p>
    <w:p w:rsidR="00FB38F4" w:rsidRDefault="00FB38F4" w:rsidP="00FB38F4">
      <w:pPr>
        <w:jc w:val="center"/>
      </w:pPr>
    </w:p>
    <w:p w:rsidR="00FB38F4" w:rsidRDefault="00FB38F4" w:rsidP="00FB38F4">
      <w:pPr>
        <w:jc w:val="center"/>
        <w:rPr>
          <w:b/>
          <w:sz w:val="28"/>
          <w:szCs w:val="28"/>
        </w:rPr>
      </w:pPr>
      <w:r>
        <w:rPr>
          <w:b/>
          <w:sz w:val="28"/>
          <w:szCs w:val="28"/>
        </w:rPr>
        <w:t>ПРИКАЗ</w:t>
      </w:r>
    </w:p>
    <w:p w:rsidR="00FB38F4" w:rsidRDefault="00FB38F4" w:rsidP="00FB38F4">
      <w:pPr>
        <w:jc w:val="center"/>
        <w:rPr>
          <w:sz w:val="28"/>
          <w:szCs w:val="28"/>
        </w:rPr>
      </w:pPr>
    </w:p>
    <w:p w:rsidR="00FB38F4" w:rsidRDefault="00FB38F4" w:rsidP="00FB38F4">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FB38F4" w:rsidTr="00FB38F4">
        <w:trPr>
          <w:trHeight w:val="427"/>
        </w:trPr>
        <w:tc>
          <w:tcPr>
            <w:tcW w:w="4253" w:type="dxa"/>
            <w:hideMark/>
          </w:tcPr>
          <w:p w:rsidR="00FB38F4" w:rsidRDefault="00FB38F4">
            <w:pPr>
              <w:spacing w:line="256" w:lineRule="auto"/>
              <w:ind w:left="142" w:hanging="142"/>
              <w:rPr>
                <w:lang w:eastAsia="en-US"/>
              </w:rPr>
            </w:pPr>
            <w:bookmarkStart w:id="0" w:name="REGNUMDATESTAMP"/>
            <w:r>
              <w:rPr>
                <w:color w:val="FFFFFF"/>
                <w:lang w:eastAsia="en-US"/>
              </w:rPr>
              <w:t>[Дата регистрации] № [Номер</w:t>
            </w:r>
            <w:r>
              <w:rPr>
                <w:color w:val="FFFFFF"/>
                <w:sz w:val="20"/>
                <w:lang w:eastAsia="en-US"/>
              </w:rPr>
              <w:t xml:space="preserve"> документа</w:t>
            </w:r>
            <w:r>
              <w:rPr>
                <w:color w:val="FFFFFF"/>
                <w:lang w:eastAsia="en-US"/>
              </w:rPr>
              <w:t>]</w:t>
            </w:r>
            <w:bookmarkEnd w:id="0"/>
          </w:p>
        </w:tc>
      </w:tr>
      <w:tr w:rsidR="00FB38F4" w:rsidTr="00FB38F4">
        <w:trPr>
          <w:trHeight w:val="247"/>
        </w:trPr>
        <w:tc>
          <w:tcPr>
            <w:tcW w:w="4253" w:type="dxa"/>
            <w:hideMark/>
          </w:tcPr>
          <w:p w:rsidR="00FB38F4" w:rsidRDefault="00FB38F4">
            <w:pPr>
              <w:spacing w:line="256" w:lineRule="auto"/>
              <w:jc w:val="center"/>
              <w:rPr>
                <w:u w:val="single"/>
                <w:lang w:eastAsia="en-US"/>
              </w:rPr>
            </w:pPr>
            <w:r>
              <w:rPr>
                <w:lang w:eastAsia="en-US"/>
              </w:rPr>
              <w:t>г. Петропавловск-Камчатский</w:t>
            </w:r>
          </w:p>
        </w:tc>
      </w:tr>
      <w:tr w:rsidR="00FB38F4" w:rsidTr="00FB38F4">
        <w:trPr>
          <w:trHeight w:val="80"/>
        </w:trPr>
        <w:tc>
          <w:tcPr>
            <w:tcW w:w="4253" w:type="dxa"/>
          </w:tcPr>
          <w:p w:rsidR="00FB38F4" w:rsidRDefault="00FB38F4">
            <w:pPr>
              <w:spacing w:line="256" w:lineRule="auto"/>
              <w:jc w:val="both"/>
              <w:rPr>
                <w:sz w:val="20"/>
                <w:lang w:eastAsia="en-US"/>
              </w:rPr>
            </w:pPr>
          </w:p>
        </w:tc>
      </w:tr>
    </w:tbl>
    <w:p w:rsidR="00FB38F4" w:rsidRDefault="00FB38F4" w:rsidP="00FB38F4">
      <w:pPr>
        <w:ind w:firstLine="709"/>
        <w:jc w:val="both"/>
        <w:rPr>
          <w:bCs/>
          <w:sz w:val="28"/>
          <w:szCs w:val="28"/>
        </w:rPr>
      </w:pPr>
    </w:p>
    <w:tbl>
      <w:tblPr>
        <w:tblStyle w:val="a3"/>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B38F4" w:rsidTr="00FB38F4">
        <w:tc>
          <w:tcPr>
            <w:tcW w:w="9639" w:type="dxa"/>
            <w:hideMark/>
          </w:tcPr>
          <w:p w:rsidR="00FB38F4" w:rsidRDefault="006042FF">
            <w:pPr>
              <w:ind w:left="30"/>
              <w:jc w:val="center"/>
              <w:rPr>
                <w:b/>
                <w:sz w:val="28"/>
                <w:szCs w:val="28"/>
                <w:lang w:eastAsia="en-US"/>
              </w:rPr>
            </w:pPr>
            <w:r>
              <w:rPr>
                <w:b/>
                <w:sz w:val="28"/>
                <w:szCs w:val="28"/>
                <w:lang w:eastAsia="en-US"/>
              </w:rPr>
              <w:t>О внесении изменений</w:t>
            </w:r>
            <w:r w:rsidR="00FB38F4">
              <w:rPr>
                <w:b/>
                <w:sz w:val="28"/>
                <w:szCs w:val="28"/>
                <w:lang w:eastAsia="en-US"/>
              </w:rPr>
              <w:t xml:space="preserve"> в Перечень главных администраторов </w:t>
            </w:r>
          </w:p>
          <w:p w:rsidR="00FB38F4" w:rsidRDefault="00FB38F4">
            <w:pPr>
              <w:ind w:left="30"/>
              <w:jc w:val="center"/>
              <w:rPr>
                <w:b/>
                <w:sz w:val="28"/>
                <w:szCs w:val="28"/>
                <w:lang w:eastAsia="en-US"/>
              </w:rPr>
            </w:pPr>
            <w:r>
              <w:rPr>
                <w:b/>
                <w:sz w:val="28"/>
                <w:szCs w:val="28"/>
                <w:lang w:eastAsia="en-US"/>
              </w:rPr>
              <w:t>доходов краевого бюджета</w:t>
            </w:r>
          </w:p>
        </w:tc>
      </w:tr>
    </w:tbl>
    <w:p w:rsidR="00FB38F4" w:rsidRDefault="00FB38F4" w:rsidP="00FB38F4">
      <w:pPr>
        <w:ind w:firstLine="709"/>
        <w:jc w:val="both"/>
        <w:rPr>
          <w:sz w:val="28"/>
          <w:szCs w:val="28"/>
        </w:rPr>
      </w:pPr>
    </w:p>
    <w:p w:rsidR="00FB38F4" w:rsidRDefault="00FB38F4" w:rsidP="00FB38F4">
      <w:pPr>
        <w:ind w:firstLine="709"/>
        <w:jc w:val="both"/>
        <w:rPr>
          <w:sz w:val="28"/>
          <w:szCs w:val="28"/>
        </w:rPr>
      </w:pPr>
    </w:p>
    <w:p w:rsidR="00FB38F4" w:rsidRPr="00FB38F4" w:rsidRDefault="00FB38F4" w:rsidP="00FB38F4">
      <w:pPr>
        <w:ind w:firstLine="709"/>
        <w:jc w:val="both"/>
        <w:rPr>
          <w:sz w:val="28"/>
          <w:szCs w:val="28"/>
        </w:rPr>
      </w:pPr>
      <w:r w:rsidRPr="00FB38F4">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FB38F4" w:rsidRPr="00FB38F4" w:rsidRDefault="00FB38F4" w:rsidP="00FB38F4">
      <w:pPr>
        <w:ind w:firstLine="709"/>
        <w:jc w:val="both"/>
        <w:rPr>
          <w:sz w:val="28"/>
          <w:szCs w:val="28"/>
        </w:rPr>
      </w:pPr>
    </w:p>
    <w:p w:rsidR="00FB38F4" w:rsidRPr="00FB38F4" w:rsidRDefault="00FB38F4" w:rsidP="00FB38F4">
      <w:pPr>
        <w:ind w:firstLine="709"/>
        <w:jc w:val="both"/>
        <w:rPr>
          <w:sz w:val="28"/>
          <w:szCs w:val="28"/>
        </w:rPr>
      </w:pPr>
      <w:r w:rsidRPr="00FB38F4">
        <w:rPr>
          <w:sz w:val="28"/>
          <w:szCs w:val="28"/>
        </w:rPr>
        <w:t>ПРИКАЗЫВАЮ:</w:t>
      </w:r>
    </w:p>
    <w:p w:rsidR="00FB38F4" w:rsidRPr="00FB38F4" w:rsidRDefault="00FB38F4" w:rsidP="00FB38F4">
      <w:pPr>
        <w:ind w:firstLine="709"/>
        <w:jc w:val="both"/>
        <w:rPr>
          <w:bCs/>
          <w:sz w:val="28"/>
          <w:szCs w:val="28"/>
        </w:rPr>
      </w:pPr>
    </w:p>
    <w:p w:rsidR="005B0B69" w:rsidRDefault="00FB38F4" w:rsidP="005B0B69">
      <w:pPr>
        <w:ind w:firstLine="709"/>
        <w:jc w:val="both"/>
        <w:rPr>
          <w:sz w:val="28"/>
          <w:szCs w:val="28"/>
        </w:rPr>
      </w:pPr>
      <w:r w:rsidRPr="00FB38F4">
        <w:rPr>
          <w:sz w:val="28"/>
          <w:szCs w:val="28"/>
        </w:rPr>
        <w:t xml:space="preserve">1. </w:t>
      </w:r>
      <w:r w:rsidRPr="00FB38F4">
        <w:rPr>
          <w:rFonts w:eastAsia="Calibri"/>
          <w:sz w:val="28"/>
          <w:szCs w:val="28"/>
        </w:rPr>
        <w:t xml:space="preserve">Внести в перечень главных администраторов доходов краевого бюджета, </w:t>
      </w:r>
      <w:r w:rsidRPr="00FB38F4">
        <w:rPr>
          <w:sz w:val="28"/>
          <w:szCs w:val="28"/>
        </w:rPr>
        <w:t xml:space="preserve">утвержденный постановлением Правительства Камчатского края </w:t>
      </w:r>
      <w:r w:rsidRPr="00FB38F4">
        <w:rPr>
          <w:sz w:val="28"/>
          <w:szCs w:val="28"/>
        </w:rPr>
        <w:br/>
        <w:t>от 27.12.2021 № 581-П «Об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Pr="00FB38F4">
        <w:rPr>
          <w:rFonts w:eastAsia="Calibri"/>
          <w:sz w:val="28"/>
          <w:szCs w:val="28"/>
        </w:rPr>
        <w:t xml:space="preserve"> изменения</w:t>
      </w:r>
      <w:r w:rsidR="006F4E4F">
        <w:rPr>
          <w:rFonts w:eastAsia="Calibri"/>
          <w:sz w:val="28"/>
          <w:szCs w:val="28"/>
        </w:rPr>
        <w:t>,</w:t>
      </w:r>
      <w:r w:rsidR="00FC1928">
        <w:rPr>
          <w:rFonts w:eastAsia="Calibri"/>
          <w:sz w:val="28"/>
          <w:szCs w:val="28"/>
        </w:rPr>
        <w:t xml:space="preserve"> </w:t>
      </w:r>
      <w:r w:rsidR="005B0B69">
        <w:rPr>
          <w:sz w:val="28"/>
          <w:szCs w:val="28"/>
        </w:rPr>
        <w:t>дополни</w:t>
      </w:r>
      <w:r w:rsidR="00FC1928">
        <w:rPr>
          <w:sz w:val="28"/>
          <w:szCs w:val="28"/>
        </w:rPr>
        <w:t>в</w:t>
      </w:r>
      <w:r w:rsidR="00727655">
        <w:rPr>
          <w:sz w:val="28"/>
          <w:szCs w:val="28"/>
        </w:rPr>
        <w:t xml:space="preserve"> его </w:t>
      </w:r>
      <w:r w:rsidR="005B0B69">
        <w:rPr>
          <w:sz w:val="28"/>
          <w:szCs w:val="28"/>
        </w:rPr>
        <w:t>следующими кодами бюджетной классификации Российской Федерации:</w:t>
      </w:r>
    </w:p>
    <w:p w:rsidR="007C3139" w:rsidRDefault="007C3139" w:rsidP="007C3139">
      <w:pPr>
        <w:ind w:firstLine="709"/>
        <w:jc w:val="both"/>
        <w:rPr>
          <w:sz w:val="28"/>
          <w:szCs w:val="28"/>
        </w:rPr>
      </w:pPr>
      <w:r w:rsidRPr="007C3139">
        <w:rPr>
          <w:sz w:val="28"/>
          <w:szCs w:val="28"/>
        </w:rPr>
        <w:t>«</w:t>
      </w:r>
      <w:r w:rsidRPr="00652E98">
        <w:rPr>
          <w:sz w:val="28"/>
          <w:szCs w:val="28"/>
        </w:rPr>
        <w:t>2 02 45472 02 0000 150</w:t>
      </w:r>
      <w:r w:rsidRPr="007C3139">
        <w:rPr>
          <w:sz w:val="28"/>
          <w:szCs w:val="28"/>
        </w:rPr>
        <w:t xml:space="preserve"> </w:t>
      </w:r>
      <w:r w:rsidRPr="00652E98">
        <w:rPr>
          <w:sz w:val="28"/>
          <w:szCs w:val="28"/>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r w:rsidRPr="007C3139">
        <w:rPr>
          <w:sz w:val="28"/>
          <w:szCs w:val="28"/>
        </w:rPr>
        <w:t>»</w:t>
      </w:r>
      <w:r w:rsidR="00FB38F4" w:rsidRPr="007C3139">
        <w:rPr>
          <w:sz w:val="28"/>
          <w:szCs w:val="28"/>
        </w:rPr>
        <w:t>;</w:t>
      </w:r>
    </w:p>
    <w:p w:rsidR="00FB38F4" w:rsidRPr="007C3139" w:rsidRDefault="007C3139" w:rsidP="007C3139">
      <w:pPr>
        <w:ind w:firstLine="709"/>
        <w:jc w:val="both"/>
        <w:rPr>
          <w:sz w:val="28"/>
          <w:szCs w:val="28"/>
        </w:rPr>
      </w:pPr>
      <w:r w:rsidRPr="007C3139">
        <w:rPr>
          <w:sz w:val="28"/>
          <w:szCs w:val="28"/>
        </w:rPr>
        <w:t>«</w:t>
      </w:r>
      <w:r w:rsidRPr="002C18BC">
        <w:rPr>
          <w:sz w:val="28"/>
          <w:szCs w:val="28"/>
        </w:rPr>
        <w:t>2 19 27576 02 0000 150</w:t>
      </w:r>
      <w:r w:rsidRPr="007C3139">
        <w:rPr>
          <w:sz w:val="28"/>
          <w:szCs w:val="28"/>
        </w:rPr>
        <w:t xml:space="preserve"> </w:t>
      </w:r>
      <w:r w:rsidRPr="002C18BC">
        <w:rPr>
          <w:sz w:val="28"/>
          <w:szCs w:val="28"/>
        </w:rP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субъектов Российской Федерации</w:t>
      </w:r>
      <w:r w:rsidRPr="007C3139">
        <w:rPr>
          <w:sz w:val="28"/>
          <w:szCs w:val="28"/>
        </w:rPr>
        <w:t>»</w:t>
      </w:r>
      <w:r w:rsidR="00FB38F4" w:rsidRPr="007C3139">
        <w:rPr>
          <w:sz w:val="28"/>
          <w:szCs w:val="28"/>
        </w:rPr>
        <w:t>.</w:t>
      </w:r>
    </w:p>
    <w:p w:rsidR="00FB38F4" w:rsidRPr="00FB38F4" w:rsidRDefault="0091253D" w:rsidP="00FB38F4">
      <w:pPr>
        <w:pStyle w:val="a4"/>
        <w:ind w:left="0" w:firstLine="709"/>
        <w:jc w:val="both"/>
        <w:rPr>
          <w:rFonts w:eastAsia="Calibri"/>
          <w:sz w:val="28"/>
          <w:szCs w:val="28"/>
        </w:rPr>
      </w:pPr>
      <w:r>
        <w:rPr>
          <w:rFonts w:eastAsia="Calibri"/>
          <w:sz w:val="28"/>
          <w:szCs w:val="28"/>
        </w:rPr>
        <w:t xml:space="preserve">2. </w:t>
      </w:r>
      <w:r w:rsidR="00FB38F4" w:rsidRPr="00FB38F4">
        <w:rPr>
          <w:rFonts w:eastAsia="Calibri"/>
          <w:sz w:val="28"/>
          <w:szCs w:val="28"/>
        </w:rPr>
        <w:t xml:space="preserve">Главным администратором доходов, указанных в </w:t>
      </w:r>
      <w:r>
        <w:rPr>
          <w:rFonts w:eastAsia="Calibri"/>
          <w:sz w:val="28"/>
          <w:szCs w:val="28"/>
        </w:rPr>
        <w:t>ч</w:t>
      </w:r>
      <w:r w:rsidR="00FB38F4" w:rsidRPr="00FB38F4">
        <w:rPr>
          <w:rFonts w:eastAsia="Calibri"/>
          <w:sz w:val="28"/>
          <w:szCs w:val="28"/>
        </w:rPr>
        <w:t xml:space="preserve">асти 1 настоящего приказа, считать Министерство </w:t>
      </w:r>
      <w:r w:rsidR="00A53089">
        <w:rPr>
          <w:rFonts w:eastAsia="Calibri"/>
          <w:sz w:val="28"/>
          <w:szCs w:val="28"/>
        </w:rPr>
        <w:t>сельского хозяйства, пищевой и перерабатывающей промышленности</w:t>
      </w:r>
      <w:r w:rsidR="00FB38F4" w:rsidRPr="00FB38F4">
        <w:rPr>
          <w:rFonts w:eastAsia="Calibri"/>
          <w:sz w:val="28"/>
          <w:szCs w:val="28"/>
        </w:rPr>
        <w:t xml:space="preserve"> Камчатского края, код главного администратора доходов 8</w:t>
      </w:r>
      <w:r>
        <w:rPr>
          <w:rFonts w:eastAsia="Calibri"/>
          <w:sz w:val="28"/>
          <w:szCs w:val="28"/>
        </w:rPr>
        <w:t>07</w:t>
      </w:r>
      <w:r w:rsidR="00FB38F4" w:rsidRPr="00FB38F4">
        <w:rPr>
          <w:rFonts w:eastAsia="Calibri"/>
          <w:sz w:val="28"/>
          <w:szCs w:val="28"/>
        </w:rPr>
        <w:t>.</w:t>
      </w:r>
    </w:p>
    <w:p w:rsidR="00FB38F4" w:rsidRPr="00FB38F4" w:rsidRDefault="00A53089" w:rsidP="00FB38F4">
      <w:pPr>
        <w:ind w:firstLine="709"/>
        <w:jc w:val="both"/>
        <w:rPr>
          <w:rFonts w:eastAsia="Calibri"/>
          <w:sz w:val="28"/>
          <w:szCs w:val="28"/>
        </w:rPr>
      </w:pPr>
      <w:r>
        <w:rPr>
          <w:rFonts w:eastAsia="Calibri"/>
          <w:sz w:val="28"/>
          <w:szCs w:val="28"/>
        </w:rPr>
        <w:t>3</w:t>
      </w:r>
      <w:r w:rsidR="00FB38F4" w:rsidRPr="00FB38F4">
        <w:rPr>
          <w:rFonts w:eastAsia="Calibri"/>
          <w:sz w:val="28"/>
          <w:szCs w:val="28"/>
        </w:rPr>
        <w:t>. Настоящий приказ вступает в силу после дня</w:t>
      </w:r>
      <w:r w:rsidR="009F5F98">
        <w:rPr>
          <w:rFonts w:eastAsia="Calibri"/>
          <w:sz w:val="28"/>
          <w:szCs w:val="28"/>
        </w:rPr>
        <w:t xml:space="preserve"> его официального опубликования </w:t>
      </w:r>
      <w:r w:rsidR="009F5F98">
        <w:rPr>
          <w:sz w:val="28"/>
          <w:szCs w:val="28"/>
        </w:rPr>
        <w:t xml:space="preserve">и </w:t>
      </w:r>
      <w:r w:rsidR="009F5F98" w:rsidRPr="00A30E11">
        <w:rPr>
          <w:sz w:val="28"/>
          <w:szCs w:val="28"/>
        </w:rPr>
        <w:t xml:space="preserve">распространяется на правоотношения, возникшие </w:t>
      </w:r>
      <w:r w:rsidR="009F5F98" w:rsidRPr="00A30E11">
        <w:rPr>
          <w:sz w:val="28"/>
          <w:szCs w:val="28"/>
        </w:rPr>
        <w:br/>
        <w:t xml:space="preserve">с </w:t>
      </w:r>
      <w:r w:rsidR="00A30E11" w:rsidRPr="00A30E11">
        <w:rPr>
          <w:sz w:val="28"/>
          <w:szCs w:val="28"/>
        </w:rPr>
        <w:t>19 декабря</w:t>
      </w:r>
      <w:r w:rsidR="009F5F98" w:rsidRPr="00A30E11">
        <w:rPr>
          <w:sz w:val="28"/>
          <w:szCs w:val="28"/>
        </w:rPr>
        <w:t xml:space="preserve"> 2023 года.</w:t>
      </w:r>
      <w:bookmarkStart w:id="1" w:name="_GoBack"/>
      <w:bookmarkEnd w:id="1"/>
    </w:p>
    <w:p w:rsidR="00FB38F4" w:rsidRDefault="00FB38F4" w:rsidP="00FB38F4">
      <w:pPr>
        <w:ind w:firstLine="709"/>
        <w:jc w:val="both"/>
        <w:rPr>
          <w:sz w:val="28"/>
          <w:szCs w:val="28"/>
        </w:rPr>
      </w:pPr>
    </w:p>
    <w:p w:rsidR="00FB38F4" w:rsidRDefault="00FB38F4" w:rsidP="00FB38F4">
      <w:pPr>
        <w:ind w:firstLine="709"/>
        <w:jc w:val="both"/>
        <w:rPr>
          <w:bCs/>
          <w:sz w:val="28"/>
          <w:szCs w:val="28"/>
        </w:rPr>
      </w:pPr>
    </w:p>
    <w:p w:rsidR="00FB38F4" w:rsidRDefault="00FB38F4" w:rsidP="00FB38F4">
      <w:pPr>
        <w:ind w:firstLine="709"/>
        <w:jc w:val="both"/>
        <w:rPr>
          <w:bCs/>
          <w:sz w:val="28"/>
          <w:szCs w:val="28"/>
        </w:rPr>
      </w:pPr>
    </w:p>
    <w:tbl>
      <w:tblPr>
        <w:tblW w:w="0" w:type="dxa"/>
        <w:tblLayout w:type="fixed"/>
        <w:tblCellMar>
          <w:left w:w="0" w:type="dxa"/>
          <w:right w:w="0" w:type="dxa"/>
        </w:tblCellMar>
        <w:tblLook w:val="04A0" w:firstRow="1" w:lastRow="0" w:firstColumn="1" w:lastColumn="0" w:noHBand="0" w:noVBand="1"/>
      </w:tblPr>
      <w:tblGrid>
        <w:gridCol w:w="2977"/>
        <w:gridCol w:w="4394"/>
        <w:gridCol w:w="2268"/>
      </w:tblGrid>
      <w:tr w:rsidR="00FB38F4" w:rsidTr="00FB38F4">
        <w:trPr>
          <w:trHeight w:val="2220"/>
        </w:trPr>
        <w:tc>
          <w:tcPr>
            <w:tcW w:w="2977" w:type="dxa"/>
          </w:tcPr>
          <w:p w:rsidR="00FB38F4" w:rsidRDefault="00FB38F4">
            <w:pPr>
              <w:spacing w:line="256" w:lineRule="auto"/>
              <w:ind w:right="27"/>
              <w:rPr>
                <w:lang w:eastAsia="en-US"/>
              </w:rPr>
            </w:pPr>
            <w:r>
              <w:rPr>
                <w:sz w:val="28"/>
                <w:lang w:eastAsia="en-US"/>
              </w:rPr>
              <w:t>Министр</w:t>
            </w:r>
          </w:p>
          <w:p w:rsidR="00FB38F4" w:rsidRDefault="00FB38F4">
            <w:pPr>
              <w:spacing w:line="256" w:lineRule="auto"/>
              <w:ind w:left="30" w:right="27"/>
              <w:rPr>
                <w:lang w:eastAsia="en-US"/>
              </w:rPr>
            </w:pPr>
          </w:p>
        </w:tc>
        <w:tc>
          <w:tcPr>
            <w:tcW w:w="4394" w:type="dxa"/>
            <w:hideMark/>
          </w:tcPr>
          <w:p w:rsidR="00FB38F4" w:rsidRDefault="00FB38F4">
            <w:pPr>
              <w:spacing w:line="256" w:lineRule="auto"/>
              <w:rPr>
                <w:color w:val="000000" w:themeColor="text1"/>
                <w:lang w:eastAsia="en-US"/>
              </w:rPr>
            </w:pPr>
            <w:bookmarkStart w:id="2" w:name="SIGNERSTAMP1"/>
            <w:r>
              <w:rPr>
                <w:color w:val="FFFFFF" w:themeColor="background1"/>
                <w:lang w:eastAsia="en-US"/>
              </w:rPr>
              <w:t>[горизонтальный штамп подписи 1]</w:t>
            </w:r>
            <w:bookmarkEnd w:id="2"/>
          </w:p>
        </w:tc>
        <w:tc>
          <w:tcPr>
            <w:tcW w:w="2268" w:type="dxa"/>
            <w:hideMark/>
          </w:tcPr>
          <w:p w:rsidR="00FB38F4" w:rsidRDefault="00FB38F4">
            <w:pPr>
              <w:spacing w:line="256" w:lineRule="auto"/>
              <w:jc w:val="right"/>
              <w:rPr>
                <w:lang w:eastAsia="en-US"/>
              </w:rPr>
            </w:pPr>
            <w:r>
              <w:rPr>
                <w:sz w:val="28"/>
                <w:lang w:eastAsia="en-US"/>
              </w:rPr>
              <w:t>А.Н. Бутылин</w:t>
            </w:r>
          </w:p>
        </w:tc>
      </w:tr>
    </w:tbl>
    <w:p w:rsidR="00175A01" w:rsidRDefault="00175A01" w:rsidP="00687FCE">
      <w:pPr>
        <w:jc w:val="both"/>
      </w:pPr>
    </w:p>
    <w:sectPr w:rsidR="00175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963E9"/>
    <w:multiLevelType w:val="hybridMultilevel"/>
    <w:tmpl w:val="CEF413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BB"/>
    <w:rsid w:val="001458BB"/>
    <w:rsid w:val="00167E8F"/>
    <w:rsid w:val="00175A01"/>
    <w:rsid w:val="002C18BC"/>
    <w:rsid w:val="002D132F"/>
    <w:rsid w:val="005B0B69"/>
    <w:rsid w:val="006042FF"/>
    <w:rsid w:val="00652E98"/>
    <w:rsid w:val="00687FCE"/>
    <w:rsid w:val="006F4E4F"/>
    <w:rsid w:val="00727655"/>
    <w:rsid w:val="007C3139"/>
    <w:rsid w:val="0091253D"/>
    <w:rsid w:val="009F5F98"/>
    <w:rsid w:val="00A30E11"/>
    <w:rsid w:val="00A53089"/>
    <w:rsid w:val="00C6653A"/>
    <w:rsid w:val="00F613BD"/>
    <w:rsid w:val="00FB38F4"/>
    <w:rsid w:val="00FC1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238D"/>
  <w15:chartTrackingRefBased/>
  <w15:docId w15:val="{A461E08E-B340-4820-89D6-DB733207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8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8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38F4"/>
    <w:pPr>
      <w:ind w:left="720"/>
      <w:contextualSpacing/>
    </w:pPr>
  </w:style>
  <w:style w:type="paragraph" w:styleId="a5">
    <w:name w:val="Balloon Text"/>
    <w:basedOn w:val="a"/>
    <w:link w:val="a6"/>
    <w:uiPriority w:val="99"/>
    <w:semiHidden/>
    <w:unhideWhenUsed/>
    <w:rsid w:val="00C6653A"/>
    <w:rPr>
      <w:rFonts w:ascii="Segoe UI" w:hAnsi="Segoe UI" w:cs="Segoe UI"/>
      <w:sz w:val="18"/>
      <w:szCs w:val="18"/>
    </w:rPr>
  </w:style>
  <w:style w:type="character" w:customStyle="1" w:styleId="a6">
    <w:name w:val="Текст выноски Знак"/>
    <w:basedOn w:val="a0"/>
    <w:link w:val="a5"/>
    <w:uiPriority w:val="99"/>
    <w:semiHidden/>
    <w:rsid w:val="00C6653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05783">
      <w:bodyDiv w:val="1"/>
      <w:marLeft w:val="0"/>
      <w:marRight w:val="0"/>
      <w:marTop w:val="0"/>
      <w:marBottom w:val="0"/>
      <w:divBdr>
        <w:top w:val="none" w:sz="0" w:space="0" w:color="auto"/>
        <w:left w:val="none" w:sz="0" w:space="0" w:color="auto"/>
        <w:bottom w:val="none" w:sz="0" w:space="0" w:color="auto"/>
        <w:right w:val="none" w:sz="0" w:space="0" w:color="auto"/>
      </w:divBdr>
    </w:div>
    <w:div w:id="274605338">
      <w:bodyDiv w:val="1"/>
      <w:marLeft w:val="0"/>
      <w:marRight w:val="0"/>
      <w:marTop w:val="0"/>
      <w:marBottom w:val="0"/>
      <w:divBdr>
        <w:top w:val="none" w:sz="0" w:space="0" w:color="auto"/>
        <w:left w:val="none" w:sz="0" w:space="0" w:color="auto"/>
        <w:bottom w:val="none" w:sz="0" w:space="0" w:color="auto"/>
        <w:right w:val="none" w:sz="0" w:space="0" w:color="auto"/>
      </w:divBdr>
      <w:divsChild>
        <w:div w:id="1538008310">
          <w:marLeft w:val="60"/>
          <w:marRight w:val="60"/>
          <w:marTop w:val="105"/>
          <w:marBottom w:val="105"/>
          <w:divBdr>
            <w:top w:val="none" w:sz="0" w:space="0" w:color="auto"/>
            <w:left w:val="none" w:sz="0" w:space="0" w:color="auto"/>
            <w:bottom w:val="none" w:sz="0" w:space="0" w:color="auto"/>
            <w:right w:val="none" w:sz="0" w:space="0" w:color="auto"/>
          </w:divBdr>
        </w:div>
        <w:div w:id="372048189">
          <w:marLeft w:val="60"/>
          <w:marRight w:val="60"/>
          <w:marTop w:val="105"/>
          <w:marBottom w:val="105"/>
          <w:divBdr>
            <w:top w:val="none" w:sz="0" w:space="0" w:color="auto"/>
            <w:left w:val="none" w:sz="0" w:space="0" w:color="auto"/>
            <w:bottom w:val="none" w:sz="0" w:space="0" w:color="auto"/>
            <w:right w:val="none" w:sz="0" w:space="0" w:color="auto"/>
          </w:divBdr>
        </w:div>
      </w:divsChild>
    </w:div>
    <w:div w:id="529220877">
      <w:bodyDiv w:val="1"/>
      <w:marLeft w:val="0"/>
      <w:marRight w:val="0"/>
      <w:marTop w:val="0"/>
      <w:marBottom w:val="0"/>
      <w:divBdr>
        <w:top w:val="none" w:sz="0" w:space="0" w:color="auto"/>
        <w:left w:val="none" w:sz="0" w:space="0" w:color="auto"/>
        <w:bottom w:val="none" w:sz="0" w:space="0" w:color="auto"/>
        <w:right w:val="none" w:sz="0" w:space="0" w:color="auto"/>
      </w:divBdr>
    </w:div>
    <w:div w:id="1478717117">
      <w:bodyDiv w:val="1"/>
      <w:marLeft w:val="0"/>
      <w:marRight w:val="0"/>
      <w:marTop w:val="0"/>
      <w:marBottom w:val="0"/>
      <w:divBdr>
        <w:top w:val="none" w:sz="0" w:space="0" w:color="auto"/>
        <w:left w:val="none" w:sz="0" w:space="0" w:color="auto"/>
        <w:bottom w:val="none" w:sz="0" w:space="0" w:color="auto"/>
        <w:right w:val="none" w:sz="0" w:space="0" w:color="auto"/>
      </w:divBdr>
    </w:div>
    <w:div w:id="1752506388">
      <w:bodyDiv w:val="1"/>
      <w:marLeft w:val="0"/>
      <w:marRight w:val="0"/>
      <w:marTop w:val="0"/>
      <w:marBottom w:val="0"/>
      <w:divBdr>
        <w:top w:val="none" w:sz="0" w:space="0" w:color="auto"/>
        <w:left w:val="none" w:sz="0" w:space="0" w:color="auto"/>
        <w:bottom w:val="none" w:sz="0" w:space="0" w:color="auto"/>
        <w:right w:val="none" w:sz="0" w:space="0" w:color="auto"/>
      </w:divBdr>
    </w:div>
    <w:div w:id="1802920081">
      <w:bodyDiv w:val="1"/>
      <w:marLeft w:val="0"/>
      <w:marRight w:val="0"/>
      <w:marTop w:val="0"/>
      <w:marBottom w:val="0"/>
      <w:divBdr>
        <w:top w:val="none" w:sz="0" w:space="0" w:color="auto"/>
        <w:left w:val="none" w:sz="0" w:space="0" w:color="auto"/>
        <w:bottom w:val="none" w:sz="0" w:space="0" w:color="auto"/>
        <w:right w:val="none" w:sz="0" w:space="0" w:color="auto"/>
      </w:divBdr>
      <w:divsChild>
        <w:div w:id="1822649254">
          <w:marLeft w:val="60"/>
          <w:marRight w:val="60"/>
          <w:marTop w:val="105"/>
          <w:marBottom w:val="105"/>
          <w:divBdr>
            <w:top w:val="none" w:sz="0" w:space="0" w:color="auto"/>
            <w:left w:val="none" w:sz="0" w:space="0" w:color="auto"/>
            <w:bottom w:val="none" w:sz="0" w:space="0" w:color="auto"/>
            <w:right w:val="none" w:sz="0" w:space="0" w:color="auto"/>
          </w:divBdr>
        </w:div>
        <w:div w:id="1763724650">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307</Words>
  <Characters>1755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Кардаш Алексей Сергеевич</dc:creator>
  <cp:keywords/>
  <dc:description/>
  <cp:lastModifiedBy>Ахметшина Ирина Викторовна</cp:lastModifiedBy>
  <cp:revision>4</cp:revision>
  <cp:lastPrinted>2023-12-06T07:46:00Z</cp:lastPrinted>
  <dcterms:created xsi:type="dcterms:W3CDTF">2023-12-18T03:06:00Z</dcterms:created>
  <dcterms:modified xsi:type="dcterms:W3CDTF">2023-12-18T03:17:00Z</dcterms:modified>
</cp:coreProperties>
</file>