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EF" w:rsidRDefault="00842DA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2EF" w:rsidRDefault="009862E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862EF" w:rsidRDefault="009862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62EF" w:rsidRDefault="009862E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862EF" w:rsidRDefault="009862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862EF" w:rsidRDefault="009862E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9862EF" w:rsidRDefault="009862E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862E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862E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862E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62EF" w:rsidRDefault="009862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862EF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изменения в приложение 1 к государственной программе Камчатского края «Управление государственными </w:t>
            </w:r>
            <w:r>
              <w:rPr>
                <w:rFonts w:ascii="Times New Roman" w:hAnsi="Times New Roman"/>
                <w:b/>
                <w:sz w:val="28"/>
              </w:rPr>
              <w:t>финансами Камчатского края», утвержденной постановлением Правительства Камчатского края от 29.12.2023 № 721-П</w:t>
            </w:r>
          </w:p>
        </w:tc>
      </w:tr>
    </w:tbl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842D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Внести изменение в приложение</w:t>
      </w:r>
      <w:r>
        <w:rPr>
          <w:rFonts w:ascii="Times New Roman" w:hAnsi="Times New Roman"/>
          <w:sz w:val="28"/>
        </w:rPr>
        <w:t xml:space="preserve"> 1 к государственной программе Камчатского края «Управление государственными </w:t>
      </w:r>
      <w:r>
        <w:rPr>
          <w:rFonts w:ascii="Times New Roman" w:hAnsi="Times New Roman"/>
          <w:sz w:val="28"/>
        </w:rPr>
        <w:t>финансами Камчатского края», утвержденной постановлением Правительства Камчатского края от 29.12.2023 № 721-П, изложив его в редакции согласно приложению к настоящему постановлению.</w:t>
      </w:r>
    </w:p>
    <w:p w:rsidR="009862EF" w:rsidRDefault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</w:t>
      </w:r>
      <w:r>
        <w:rPr>
          <w:rFonts w:ascii="Times New Roman" w:hAnsi="Times New Roman"/>
          <w:sz w:val="28"/>
        </w:rPr>
        <w:t>ликования и распространяется на правоотношения, возникшие с 1 января 2024 года.</w:t>
      </w:r>
    </w:p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862E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9862EF" w:rsidRDefault="009862E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862EF" w:rsidRDefault="009862E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862EF" w:rsidRDefault="009862E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862EF" w:rsidRDefault="00842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862EF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842DA4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862E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862E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862E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862EF" w:rsidRDefault="009862EF">
      <w:pPr>
        <w:rPr>
          <w:rFonts w:ascii="Times New Roman" w:hAnsi="Times New Roman"/>
          <w:sz w:val="24"/>
        </w:rPr>
      </w:pPr>
    </w:p>
    <w:p w:rsidR="00842DA4" w:rsidRDefault="00842DA4" w:rsidP="00842DA4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Приложение 1 к государственной программе Камчатского края «Управление государственными</w:t>
      </w:r>
    </w:p>
    <w:p w:rsidR="00842DA4" w:rsidRDefault="00842DA4" w:rsidP="00842DA4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финансами Камчатского края»</w:t>
      </w: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местным бюджетам на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расходных обязательств муниципальных образований</w:t>
      </w:r>
      <w:r w:rsidRPr="002005A2">
        <w:rPr>
          <w:rFonts w:ascii="Times New Roman" w:hAnsi="Times New Roman"/>
          <w:sz w:val="28"/>
        </w:rPr>
        <w:t>, возникающих при выполнении полномочий органов местного самоуправления по вопросам местного значения,</w:t>
      </w:r>
      <w:r>
        <w:rPr>
          <w:rFonts w:ascii="Times New Roman" w:hAnsi="Times New Roman"/>
          <w:sz w:val="28"/>
        </w:rPr>
        <w:t xml:space="preserve"> по оплате труда работников муниципальных учреждений (за исключением лиц, замещающих муниципальные должности и должности муниципальной службы) (далее – Порядок)</w:t>
      </w: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– Правила), и регулирует предоставление и распределение субсидий из краевого бюджета</w:t>
      </w:r>
      <w:r w:rsidRPr="002005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средств краевого бюджета местным бюджетам в Камчатском крае в целях достижения результатов комплекса процессных мероприятий «Реализация мероприятий по содействию в решении вопросов местного значения муниципальных образований в Камчатском крае» государственной программы Камчатского края «Управление государственными финансами Камчатского края» на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расходных обязательств муниципальных образований, возникающих при выполнении</w:t>
      </w:r>
      <w:r w:rsidRPr="004F4D55">
        <w:rPr>
          <w:rFonts w:ascii="Times New Roman" w:hAnsi="Times New Roman"/>
          <w:sz w:val="28"/>
        </w:rPr>
        <w:t xml:space="preserve"> полномочий органов местного самоуправления по вопросам местного значения</w:t>
      </w:r>
      <w:r>
        <w:rPr>
          <w:rFonts w:ascii="Times New Roman" w:hAnsi="Times New Roman"/>
          <w:sz w:val="28"/>
        </w:rPr>
        <w:t>, по оплате труда работников муниципальных учреждений (за исключением лиц, замещающих муниципальные должности и должности муниципальной службы).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B7408C">
        <w:rPr>
          <w:rFonts w:ascii="Times New Roman" w:hAnsi="Times New Roman"/>
          <w:sz w:val="28"/>
        </w:rPr>
        <w:t>Субс</w:t>
      </w:r>
      <w:r>
        <w:rPr>
          <w:rFonts w:ascii="Times New Roman" w:hAnsi="Times New Roman"/>
          <w:sz w:val="28"/>
        </w:rPr>
        <w:t xml:space="preserve">идии предоставляются в пределах </w:t>
      </w:r>
      <w:r w:rsidRPr="00B7408C">
        <w:rPr>
          <w:rFonts w:ascii="Times New Roman" w:hAnsi="Times New Roman"/>
          <w:sz w:val="28"/>
        </w:rPr>
        <w:t xml:space="preserve">лимитов бюджетных обязательств, доведенных </w:t>
      </w:r>
      <w:r>
        <w:rPr>
          <w:rFonts w:ascii="Times New Roman" w:hAnsi="Times New Roman"/>
          <w:sz w:val="28"/>
        </w:rPr>
        <w:t xml:space="preserve">в установленном порядке </w:t>
      </w:r>
      <w:r w:rsidRPr="00B7408C">
        <w:rPr>
          <w:rFonts w:ascii="Times New Roman" w:hAnsi="Times New Roman"/>
          <w:sz w:val="28"/>
        </w:rPr>
        <w:t xml:space="preserve">до Министерства </w:t>
      </w:r>
      <w:r>
        <w:rPr>
          <w:rFonts w:ascii="Times New Roman" w:hAnsi="Times New Roman"/>
          <w:sz w:val="28"/>
        </w:rPr>
        <w:t>финансов</w:t>
      </w:r>
      <w:r w:rsidRPr="00B7408C">
        <w:rPr>
          <w:rFonts w:ascii="Times New Roman" w:hAnsi="Times New Roman"/>
          <w:sz w:val="28"/>
        </w:rPr>
        <w:t xml:space="preserve"> Камчатского края как получателя средств краевого бюджета (далее </w:t>
      </w:r>
      <w:r>
        <w:rPr>
          <w:rFonts w:ascii="Times New Roman" w:hAnsi="Times New Roman"/>
          <w:sz w:val="28"/>
        </w:rPr>
        <w:t xml:space="preserve">– </w:t>
      </w:r>
      <w:r w:rsidRPr="00B7408C">
        <w:rPr>
          <w:rFonts w:ascii="Times New Roman" w:hAnsi="Times New Roman"/>
          <w:sz w:val="28"/>
        </w:rPr>
        <w:t xml:space="preserve"> Министерство) на цели, указанные в части 1 настоящего Порядка.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Условием предоставления субсидий является заключение соглашения о предоставлении </w:t>
      </w:r>
      <w:r w:rsidRPr="00431254"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 xml:space="preserve">краевого </w:t>
      </w:r>
      <w:r w:rsidRPr="00431254">
        <w:rPr>
          <w:rFonts w:ascii="Times New Roman" w:hAnsi="Times New Roman"/>
          <w:sz w:val="28"/>
        </w:rPr>
        <w:t>бюджета субсидии бюджету муниципального образования</w:t>
      </w:r>
      <w:r>
        <w:rPr>
          <w:rFonts w:ascii="Times New Roman" w:hAnsi="Times New Roman"/>
          <w:sz w:val="28"/>
        </w:rPr>
        <w:t xml:space="preserve"> между Министерством и органом местного самоуправления</w:t>
      </w:r>
      <w:r w:rsidRPr="00431254">
        <w:rPr>
          <w:rFonts w:ascii="Times New Roman" w:hAnsi="Times New Roman"/>
          <w:sz w:val="28"/>
        </w:rPr>
        <w:t>, предусматривающего обязательства муниципального образования по исполнению расходных обязательств</w:t>
      </w:r>
      <w:r>
        <w:rPr>
          <w:rFonts w:ascii="Times New Roman" w:hAnsi="Times New Roman"/>
          <w:sz w:val="28"/>
        </w:rPr>
        <w:t xml:space="preserve">, </w:t>
      </w:r>
      <w:r w:rsidRPr="00431254">
        <w:rPr>
          <w:rFonts w:ascii="Times New Roman" w:hAnsi="Times New Roman"/>
          <w:sz w:val="28"/>
        </w:rPr>
        <w:t xml:space="preserve">в целях </w:t>
      </w:r>
      <w:proofErr w:type="spellStart"/>
      <w:r w:rsidRPr="00431254">
        <w:rPr>
          <w:rFonts w:ascii="Times New Roman" w:hAnsi="Times New Roman"/>
          <w:sz w:val="28"/>
        </w:rPr>
        <w:t>софинансирования</w:t>
      </w:r>
      <w:proofErr w:type="spellEnd"/>
      <w:r w:rsidRPr="00431254">
        <w:rPr>
          <w:rFonts w:ascii="Times New Roman" w:hAnsi="Times New Roman"/>
          <w:sz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</w:t>
      </w:r>
      <w:r>
        <w:rPr>
          <w:rFonts w:ascii="Times New Roman" w:hAnsi="Times New Roman"/>
          <w:sz w:val="28"/>
        </w:rPr>
        <w:t xml:space="preserve"> (далее – Соглашение)</w:t>
      </w:r>
      <w:r w:rsidRPr="00431254">
        <w:rPr>
          <w:rFonts w:ascii="Times New Roman" w:hAnsi="Times New Roman"/>
          <w:sz w:val="28"/>
        </w:rPr>
        <w:t>.</w:t>
      </w:r>
    </w:p>
    <w:p w:rsidR="00842DA4" w:rsidRPr="006E19FC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Pr="006E19FC">
        <w:rPr>
          <w:rFonts w:ascii="Times New Roman" w:hAnsi="Times New Roman"/>
          <w:sz w:val="28"/>
        </w:rPr>
        <w:t>Распределение субсидий местным бюджетам из</w:t>
      </w:r>
      <w:r>
        <w:rPr>
          <w:rFonts w:ascii="Times New Roman" w:hAnsi="Times New Roman"/>
          <w:sz w:val="28"/>
        </w:rPr>
        <w:t xml:space="preserve"> краевого</w:t>
      </w:r>
      <w:r w:rsidRPr="006E19FC">
        <w:rPr>
          <w:rFonts w:ascii="Times New Roman" w:hAnsi="Times New Roman"/>
          <w:sz w:val="28"/>
        </w:rPr>
        <w:t xml:space="preserve"> бюджета между муниципальными образованиями утверждается законом </w:t>
      </w:r>
      <w:r>
        <w:rPr>
          <w:rFonts w:ascii="Times New Roman" w:hAnsi="Times New Roman"/>
          <w:sz w:val="28"/>
        </w:rPr>
        <w:t>Камчатского края</w:t>
      </w:r>
      <w:r w:rsidRPr="006E19FC"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краевом </w:t>
      </w:r>
      <w:r w:rsidRPr="006E19FC">
        <w:rPr>
          <w:rFonts w:ascii="Times New Roman" w:hAnsi="Times New Roman"/>
          <w:sz w:val="28"/>
        </w:rPr>
        <w:t>бюджете на очередной финансовый год и</w:t>
      </w:r>
      <w:r>
        <w:rPr>
          <w:rFonts w:ascii="Times New Roman" w:hAnsi="Times New Roman"/>
          <w:sz w:val="28"/>
        </w:rPr>
        <w:t xml:space="preserve"> на</w:t>
      </w:r>
      <w:r w:rsidRPr="006E19FC">
        <w:rPr>
          <w:rFonts w:ascii="Times New Roman" w:hAnsi="Times New Roman"/>
          <w:sz w:val="28"/>
        </w:rPr>
        <w:t xml:space="preserve"> плановый период.</w:t>
      </w:r>
    </w:p>
    <w:p w:rsidR="00842DA4" w:rsidRPr="006E19FC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6E19FC">
        <w:rPr>
          <w:rFonts w:ascii="Times New Roman" w:hAnsi="Times New Roman"/>
          <w:sz w:val="28"/>
        </w:rPr>
        <w:t xml:space="preserve">Повторное распределение между муниципальными образованиями субсидий,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абзацем третьим пункта 3 статьи 95 </w:t>
      </w:r>
      <w:r>
        <w:rPr>
          <w:rFonts w:ascii="Times New Roman" w:hAnsi="Times New Roman"/>
          <w:sz w:val="28"/>
        </w:rPr>
        <w:t>Бюджетного к</w:t>
      </w:r>
      <w:r w:rsidRPr="006E19FC">
        <w:rPr>
          <w:rFonts w:ascii="Times New Roman" w:hAnsi="Times New Roman"/>
          <w:sz w:val="28"/>
        </w:rPr>
        <w:t>одекса</w:t>
      </w:r>
      <w:r>
        <w:rPr>
          <w:rFonts w:ascii="Times New Roman" w:hAnsi="Times New Roman"/>
          <w:sz w:val="28"/>
        </w:rPr>
        <w:t xml:space="preserve"> Российской Федерации</w:t>
      </w:r>
      <w:r w:rsidRPr="006E19FC">
        <w:rPr>
          <w:rFonts w:ascii="Times New Roman" w:hAnsi="Times New Roman"/>
          <w:sz w:val="28"/>
        </w:rPr>
        <w:t>, не осуществляется.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6E19FC">
        <w:rPr>
          <w:rFonts w:ascii="Times New Roman" w:hAnsi="Times New Roman"/>
          <w:sz w:val="28"/>
        </w:rPr>
        <w:t xml:space="preserve">В случаях и порядке, предусмотренных законом </w:t>
      </w:r>
      <w:r>
        <w:rPr>
          <w:rFonts w:ascii="Times New Roman" w:hAnsi="Times New Roman"/>
          <w:sz w:val="28"/>
        </w:rPr>
        <w:t>Камчатского края</w:t>
      </w:r>
      <w:r w:rsidRPr="006E19FC">
        <w:rPr>
          <w:rFonts w:ascii="Times New Roman" w:hAnsi="Times New Roman"/>
          <w:sz w:val="28"/>
        </w:rPr>
        <w:t xml:space="preserve"> (кроме закона о бюджете), актами высшего исполнительного органа </w:t>
      </w:r>
      <w:r>
        <w:rPr>
          <w:rFonts w:ascii="Times New Roman" w:hAnsi="Times New Roman"/>
          <w:sz w:val="28"/>
        </w:rPr>
        <w:t>Камчатского края</w:t>
      </w:r>
      <w:r w:rsidRPr="006E19FC">
        <w:rPr>
          <w:rFonts w:ascii="Times New Roman" w:hAnsi="Times New Roman"/>
          <w:sz w:val="28"/>
        </w:rPr>
        <w:t xml:space="preserve">, без внесения изменений в закон о </w:t>
      </w:r>
      <w:r>
        <w:rPr>
          <w:rFonts w:ascii="Times New Roman" w:hAnsi="Times New Roman"/>
          <w:sz w:val="28"/>
        </w:rPr>
        <w:t xml:space="preserve">краевом бюджете </w:t>
      </w:r>
      <w:r w:rsidRPr="006E19FC">
        <w:rPr>
          <w:rFonts w:ascii="Times New Roman" w:hAnsi="Times New Roman"/>
          <w:sz w:val="28"/>
        </w:rPr>
        <w:t xml:space="preserve">на текущий финансовый год и </w:t>
      </w:r>
      <w:r>
        <w:rPr>
          <w:rFonts w:ascii="Times New Roman" w:hAnsi="Times New Roman"/>
          <w:sz w:val="28"/>
        </w:rPr>
        <w:t xml:space="preserve">на </w:t>
      </w:r>
      <w:r w:rsidRPr="006E19FC">
        <w:rPr>
          <w:rFonts w:ascii="Times New Roman" w:hAnsi="Times New Roman"/>
          <w:sz w:val="28"/>
        </w:rPr>
        <w:t>плановый период могут быть внесены изменения в распределение объемов субсидий между муниципальными образованиями.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Соглашение </w:t>
      </w:r>
      <w:r w:rsidRPr="00225AFF">
        <w:rPr>
          <w:rFonts w:ascii="Times New Roman" w:hAnsi="Times New Roman"/>
          <w:sz w:val="28"/>
        </w:rPr>
        <w:t>о предоставлении субсидии и дополнительные соглашения к соглашению о предоставлении субсидии</w:t>
      </w:r>
      <w:r>
        <w:rPr>
          <w:rFonts w:ascii="Times New Roman" w:hAnsi="Times New Roman"/>
          <w:sz w:val="28"/>
        </w:rPr>
        <w:t xml:space="preserve"> заключаются в соответствии с типовой формой, утвержденной Министерством.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Заключение соглашений о предоставлении из краевого бюджета субсидий местным бюджетам, предусмотренных законом Камчатского края о краевом бюджете на очередной финансовый год и на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Соглашение о предоставлении субсидии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Критерием отбора муниципальных образований для предоставления субсидий является наличие на территории муниципального образования муниципальных учреждений, финансируемых за счет средств местного бюджета.</w:t>
      </w:r>
    </w:p>
    <w:p w:rsidR="00842DA4" w:rsidRDefault="00842DA4" w:rsidP="00842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726D">
        <w:rPr>
          <w:rFonts w:ascii="Times New Roman" w:hAnsi="Times New Roman"/>
          <w:sz w:val="28"/>
        </w:rPr>
        <w:t xml:space="preserve">11. Уровень </w:t>
      </w:r>
      <w:proofErr w:type="spellStart"/>
      <w:r w:rsidRPr="00CE726D">
        <w:rPr>
          <w:rFonts w:ascii="Times New Roman" w:hAnsi="Times New Roman"/>
          <w:sz w:val="28"/>
        </w:rPr>
        <w:t>софинансирования</w:t>
      </w:r>
      <w:proofErr w:type="spellEnd"/>
      <w:r w:rsidRPr="00CE726D">
        <w:rPr>
          <w:rFonts w:ascii="Times New Roman" w:hAnsi="Times New Roman"/>
          <w:sz w:val="28"/>
        </w:rPr>
        <w:t xml:space="preserve"> за счет средств краевого бюджета расходного обязательства муниципального образования, в целях </w:t>
      </w:r>
      <w:proofErr w:type="spellStart"/>
      <w:r w:rsidRPr="00CE726D">
        <w:rPr>
          <w:rFonts w:ascii="Times New Roman" w:hAnsi="Times New Roman"/>
          <w:sz w:val="28"/>
        </w:rPr>
        <w:t>софинансирования</w:t>
      </w:r>
      <w:proofErr w:type="spellEnd"/>
      <w:r w:rsidRPr="00CE726D">
        <w:rPr>
          <w:rFonts w:ascii="Times New Roman" w:hAnsi="Times New Roman"/>
          <w:sz w:val="28"/>
        </w:rPr>
        <w:t xml:space="preserve"> которого предоставляется субсидия, устанавливается для каждого муниципального образования в Соглашении и не может превышать 99,9 процентов от объема соответствующего расходного обязательства муниципального образования.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Субсидия распределяется по формуле:</w:t>
      </w: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ОТ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ФОТ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 без </w:t>
      </w:r>
      <w:proofErr w:type="spellStart"/>
      <w:r>
        <w:rPr>
          <w:rFonts w:ascii="Times New Roman" w:hAnsi="Times New Roman"/>
          <w:sz w:val="28"/>
          <w:vertAlign w:val="superscript"/>
        </w:rPr>
        <w:t>пов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+ </w:t>
      </w:r>
      <w:proofErr w:type="spellStart"/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пов</w:t>
      </w:r>
      <w:proofErr w:type="spellEnd"/>
      <w:r>
        <w:rPr>
          <w:rFonts w:ascii="Times New Roman" w:hAnsi="Times New Roman"/>
          <w:sz w:val="28"/>
        </w:rPr>
        <w:t>, где:</w:t>
      </w: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ОТ</w:t>
      </w:r>
      <w:proofErr w:type="spellEnd"/>
      <w:r>
        <w:rPr>
          <w:rFonts w:ascii="Times New Roman" w:hAnsi="Times New Roman"/>
          <w:sz w:val="28"/>
        </w:rPr>
        <w:t xml:space="preserve"> – размер субсидии на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расходов на оплату труда работников муниципальных учреждений (за исключением лиц, замещающих муниципальные должности и должности муниципальной службы), </w:t>
      </w:r>
      <w:r>
        <w:rPr>
          <w:rFonts w:ascii="Times New Roman" w:hAnsi="Times New Roman"/>
          <w:sz w:val="28"/>
        </w:rPr>
        <w:lastRenderedPageBreak/>
        <w:t>предоставляемой бюджету j-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(муниципального, городского округа) в Камчатском крае;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ФОТ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 без </w:t>
      </w:r>
      <w:proofErr w:type="spellStart"/>
      <w:r>
        <w:rPr>
          <w:rFonts w:ascii="Times New Roman" w:hAnsi="Times New Roman"/>
          <w:sz w:val="28"/>
          <w:vertAlign w:val="superscript"/>
        </w:rPr>
        <w:t>пов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– часть субсидии на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фонда оплаты труда работников муниципальных учреждений (без учета повышения оплаты труда в очередном финансовом году);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пов</w:t>
      </w:r>
      <w:proofErr w:type="spellEnd"/>
      <w:r>
        <w:rPr>
          <w:rFonts w:ascii="Times New Roman" w:hAnsi="Times New Roman"/>
          <w:sz w:val="28"/>
        </w:rPr>
        <w:t xml:space="preserve"> – часть субсидии на повышение оплаты труда работников муниципальных учреждений в очередном финансовом году.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Часть субсидии на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фонда оплаты труда работников муниципальных учреждений (без учета повышения оплаты труда в очередном финансовом году) определяется по формуле:</w:t>
      </w: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ФОТ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 без </w:t>
      </w:r>
      <w:proofErr w:type="spellStart"/>
      <w:r>
        <w:rPr>
          <w:rFonts w:ascii="Times New Roman" w:hAnsi="Times New Roman"/>
          <w:sz w:val="28"/>
          <w:vertAlign w:val="superscript"/>
        </w:rPr>
        <w:t>пов</w:t>
      </w:r>
      <w:proofErr w:type="spellEnd"/>
      <w:r w:rsidRPr="00FB1846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proofErr w:type="spellStart"/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ТГ</w:t>
      </w:r>
      <w:proofErr w:type="spellEnd"/>
      <w:r w:rsidRPr="00FB1846">
        <w:rPr>
          <w:rFonts w:ascii="Times New Roman" w:hAnsi="Times New Roman"/>
          <w:b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× </w:t>
      </w:r>
      <w:proofErr w:type="spellStart"/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>, где:</w:t>
      </w:r>
    </w:p>
    <w:p w:rsidR="00842DA4" w:rsidRPr="00640225" w:rsidRDefault="00842DA4" w:rsidP="00842DA4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ТГ</w:t>
      </w:r>
      <w:proofErr w:type="spellEnd"/>
      <w:r>
        <w:rPr>
          <w:rFonts w:ascii="Times New Roman" w:hAnsi="Times New Roman"/>
          <w:sz w:val="28"/>
        </w:rPr>
        <w:t xml:space="preserve"> – прогнозный фонд оплаты труда (заработная плата и начисления на выплаты по оплате труда) работников муниципальных учреждений, финансируемых из бюджета j-того муниципального района (муниципального, городского округа) (за исключением лиц, замещающих муниципальные должности и должности муниципальной службы, а также финансируемых за счет субвенций из краевого бюджета), в текущем финансовом году (по оценке Министерства);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– доля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расходного обязательства j-того муниципального района (муниципального, городского округа) за счет средств краевого бюджета, определяемая дифференцированно, исходя из необходимости доведения в очередном финансовом году общего объема межбюджетных трансфертов выравнивающего характера до единого для всех муниципальных районов (муниципальных, городских округов) определенного уровня текущего финансового года.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Часть субсидии на повышение оплаты труда работников муниципальных учреждений в очередном финансовом году определяется по формуле:</w:t>
      </w: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2DA4" w:rsidRDefault="00842DA4" w:rsidP="00842DA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пов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ТГ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× </w:t>
      </w:r>
      <w:proofErr w:type="spellStart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vertAlign w:val="superscript"/>
        </w:rPr>
        <w:t>зп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 ОГ</w:t>
      </w:r>
      <w:r>
        <w:rPr>
          <w:rFonts w:ascii="Times New Roman" w:hAnsi="Times New Roman"/>
          <w:sz w:val="28"/>
        </w:rPr>
        <w:t>, где:</w:t>
      </w:r>
    </w:p>
    <w:p w:rsidR="00842DA4" w:rsidRPr="00FB1846" w:rsidRDefault="00842DA4" w:rsidP="00842DA4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B1846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vertAlign w:val="superscript"/>
        </w:rPr>
        <w:t>зп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 ОГ</w:t>
      </w:r>
      <w:r>
        <w:rPr>
          <w:rFonts w:ascii="Times New Roman" w:hAnsi="Times New Roman"/>
          <w:sz w:val="28"/>
        </w:rPr>
        <w:t xml:space="preserve"> – коэффициент, учитывающий индексацию фонда оплаты труда работников учреждений бюджетной сферы Камчатского края на очередной финансовый год.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Результатами использования субсидии являются: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‒ отсутствие просроченной кредиторской задолженности по заработной плате и начислениям на выплаты по оплате труда работников муниципальных учреждений, финансируемых за счет местных бюджетов;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‒ обеспечение финансирования расходных обязательств муниципального образования по повышению оплаты труда работников муниципальных учреждений, финансируемых за счет средств местного бюджета.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16. Министерство осуществляет мониторинг предоставления и достижения значений результатов использования субсидий, установленных в Соглашении.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Контроль за соблюдением органами местного самоуправления муниципальных образований целей, порядка, условий предоставления и расходования субсидий, а также за соблюдением условий Соглашений осуществляется Министерством и органами государственного финансового контроля.</w:t>
      </w:r>
    </w:p>
    <w:p w:rsidR="00842DA4" w:rsidRDefault="00842DA4" w:rsidP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 w:rsidRPr="006E19FC">
        <w:rPr>
          <w:rFonts w:ascii="Times New Roman" w:hAnsi="Times New Roman"/>
          <w:sz w:val="28"/>
        </w:rPr>
        <w:t>Не использованные по состоянию на 1 января текущего финансового года субсиди</w:t>
      </w:r>
      <w:r>
        <w:rPr>
          <w:rFonts w:ascii="Times New Roman" w:hAnsi="Times New Roman"/>
          <w:sz w:val="28"/>
        </w:rPr>
        <w:t>и</w:t>
      </w:r>
      <w:r w:rsidRPr="006E19FC">
        <w:rPr>
          <w:rFonts w:ascii="Times New Roman" w:hAnsi="Times New Roman"/>
          <w:sz w:val="28"/>
        </w:rPr>
        <w:t xml:space="preserve"> подлежат возврату в доход </w:t>
      </w:r>
      <w:r>
        <w:rPr>
          <w:rFonts w:ascii="Times New Roman" w:hAnsi="Times New Roman"/>
          <w:sz w:val="28"/>
        </w:rPr>
        <w:t xml:space="preserve">краевого </w:t>
      </w:r>
      <w:r w:rsidRPr="006E19FC">
        <w:rPr>
          <w:rFonts w:ascii="Times New Roman" w:hAnsi="Times New Roman"/>
          <w:sz w:val="28"/>
        </w:rPr>
        <w:t>бюджета в соответствии со статьей 242 Бюджетного кодекса Российской Федерации.</w:t>
      </w:r>
    </w:p>
    <w:p w:rsidR="009862EF" w:rsidRDefault="00842DA4" w:rsidP="00842DA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19. Основания и порядок применения мер финансовой ответственности к муниципальному образованию при невыполнении условий Соглашения, в том числе порядок и объем сокращения субсидии в случае невыполнения муниципальным образованием условий предоставления субсидий, установлены Правилами.</w:t>
      </w:r>
      <w:r>
        <w:rPr>
          <w:rFonts w:ascii="Times New Roman" w:hAnsi="Times New Roman"/>
          <w:sz w:val="28"/>
        </w:rPr>
        <w:t>».</w:t>
      </w:r>
      <w:bookmarkStart w:id="2" w:name="_GoBack"/>
      <w:bookmarkEnd w:id="2"/>
    </w:p>
    <w:sectPr w:rsidR="009862EF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EF"/>
    <w:rsid w:val="00842DA4"/>
    <w:rsid w:val="009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9CC6"/>
  <w15:docId w15:val="{7905CC19-9CEB-4D5B-A49C-8411C91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Ульянченко Ирина Владимировна</cp:lastModifiedBy>
  <cp:revision>2</cp:revision>
  <dcterms:created xsi:type="dcterms:W3CDTF">2024-01-25T01:38:00Z</dcterms:created>
  <dcterms:modified xsi:type="dcterms:W3CDTF">2024-01-25T01:40:00Z</dcterms:modified>
</cp:coreProperties>
</file>