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51" w:rsidRDefault="004365B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51" w:rsidRDefault="00AA095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0951" w:rsidRDefault="00AA095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ФИНАНСОВ </w:t>
      </w: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0951" w:rsidRDefault="00AA095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</w:p>
    <w:p w:rsidR="00AA0951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095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2284" w:rsidRDefault="00FD2284" w:rsidP="00FD228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406F4">
              <w:rPr>
                <w:rFonts w:ascii="Times New Roman" w:hAnsi="Times New Roman"/>
                <w:b/>
                <w:sz w:val="28"/>
              </w:rPr>
              <w:t xml:space="preserve">Об утверждении перечней муниципальных образований в </w:t>
            </w:r>
          </w:p>
          <w:p w:rsidR="00AA0951" w:rsidRDefault="00FD2284" w:rsidP="00FD228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406F4">
              <w:rPr>
                <w:rFonts w:ascii="Times New Roman" w:hAnsi="Times New Roman"/>
                <w:b/>
                <w:sz w:val="28"/>
              </w:rPr>
              <w:t>Камчатском крае в соответствии с положениями пункта 5 статьи 136 Бюджетного кодекса Российской Федерации</w:t>
            </w:r>
          </w:p>
        </w:tc>
      </w:tr>
    </w:tbl>
    <w:p w:rsidR="00AA0951" w:rsidRDefault="00AA095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0951" w:rsidRDefault="00AA095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D2284" w:rsidRPr="00FE1B11" w:rsidRDefault="00FD2284" w:rsidP="00FD22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B11">
        <w:rPr>
          <w:rFonts w:ascii="Times New Roman" w:hAnsi="Times New Roman"/>
          <w:sz w:val="28"/>
          <w:szCs w:val="28"/>
        </w:rPr>
        <w:t>В соответствии с пунктом 5 статьи 136 Бюджетного кодекса Российской Федерации</w:t>
      </w:r>
    </w:p>
    <w:p w:rsidR="00AA0951" w:rsidRDefault="00AA095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D2284" w:rsidRDefault="00FD2284" w:rsidP="00FD22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sub_2"/>
      <w:bookmarkEnd w:id="0"/>
      <w:r>
        <w:rPr>
          <w:rFonts w:ascii="Times New Roman" w:hAnsi="Times New Roman"/>
          <w:sz w:val="28"/>
        </w:rPr>
        <w:t>ПРИКАЗЫВАЮ:</w:t>
      </w:r>
    </w:p>
    <w:p w:rsidR="00FD2284" w:rsidRDefault="00FD2284" w:rsidP="00FD22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2284" w:rsidRDefault="00FD2284" w:rsidP="00A806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43350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на 2025 год перечни муниципальных образований в Камчатском крае:</w:t>
      </w:r>
    </w:p>
    <w:p w:rsidR="00FD2284" w:rsidRDefault="00FD2284" w:rsidP="00A80673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F1D8E">
        <w:rPr>
          <w:sz w:val="28"/>
          <w:szCs w:val="28"/>
        </w:rPr>
        <w:t>в бюджетах которых дол</w:t>
      </w:r>
      <w:r w:rsidRPr="00743698">
        <w:rPr>
          <w:sz w:val="28"/>
          <w:szCs w:val="28"/>
        </w:rPr>
        <w:t>я дотаций</w:t>
      </w:r>
      <w:r>
        <w:rPr>
          <w:sz w:val="28"/>
          <w:szCs w:val="28"/>
        </w:rPr>
        <w:t xml:space="preserve"> из других бюджетов</w:t>
      </w:r>
      <w:r w:rsidR="00077EF4">
        <w:rPr>
          <w:sz w:val="28"/>
          <w:szCs w:val="28"/>
        </w:rPr>
        <w:t xml:space="preserve"> </w:t>
      </w:r>
      <w:r w:rsidR="00077EF4">
        <w:rPr>
          <w:sz w:val="28"/>
          <w:szCs w:val="28"/>
        </w:rPr>
        <w:t>бюджетной системы Российской Федерации</w:t>
      </w:r>
      <w:r w:rsidR="00CC32C5">
        <w:rPr>
          <w:sz w:val="28"/>
          <w:szCs w:val="28"/>
        </w:rPr>
        <w:t xml:space="preserve"> </w:t>
      </w:r>
      <w:r w:rsidR="00CC32C5" w:rsidRPr="00CC32C5">
        <w:rPr>
          <w:color w:val="000000"/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>
        <w:rPr>
          <w:sz w:val="28"/>
          <w:szCs w:val="28"/>
        </w:rPr>
        <w:t xml:space="preserve"> </w:t>
      </w:r>
      <w:r w:rsidRPr="00743698">
        <w:rPr>
          <w:sz w:val="28"/>
          <w:szCs w:val="28"/>
        </w:rPr>
        <w:t xml:space="preserve">и (или) налоговых доходов по дополнительным нормативам отчислений от налога на доходы физических лиц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</w:t>
      </w:r>
      <w:r w:rsidRPr="00916132">
        <w:rPr>
          <w:sz w:val="28"/>
          <w:szCs w:val="28"/>
        </w:rPr>
        <w:t>от налога на доходы физических лиц, в</w:t>
      </w:r>
      <w:r w:rsidRPr="008F1D8E">
        <w:rPr>
          <w:sz w:val="28"/>
          <w:szCs w:val="28"/>
        </w:rPr>
        <w:t xml:space="preserve"> течение двух из трех последних отчетных финансовых лет н</w:t>
      </w:r>
      <w:r>
        <w:rPr>
          <w:sz w:val="28"/>
          <w:szCs w:val="28"/>
        </w:rPr>
        <w:t xml:space="preserve">е превышала 5 процентов </w:t>
      </w:r>
      <w:r w:rsidRPr="008407E8">
        <w:rPr>
          <w:sz w:val="28"/>
          <w:szCs w:val="28"/>
        </w:rPr>
        <w:t xml:space="preserve">доходов местного бюджета, </w:t>
      </w:r>
      <w:r w:rsidRPr="00743698">
        <w:rPr>
          <w:sz w:val="28"/>
          <w:szCs w:val="28"/>
        </w:rPr>
        <w:t>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</w:t>
      </w:r>
      <w:r>
        <w:rPr>
          <w:sz w:val="28"/>
          <w:szCs w:val="28"/>
        </w:rPr>
        <w:t xml:space="preserve"> согласно приложению 1 к настоящему приказу;</w:t>
      </w:r>
    </w:p>
    <w:p w:rsidR="00FD2284" w:rsidRPr="00CC32C5" w:rsidRDefault="00FD2284" w:rsidP="00A80673">
      <w:pPr>
        <w:pStyle w:val="a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2) в бюджетах которых доля дотаций из других бюджетов бюджетной системы Российской Федерации </w:t>
      </w:r>
      <w:r w:rsidR="00CC32C5" w:rsidRPr="00CC32C5">
        <w:rPr>
          <w:sz w:val="28"/>
          <w:szCs w:val="28"/>
        </w:rPr>
        <w:t xml:space="preserve">(без учета дотаций местным бюджетам, </w:t>
      </w:r>
      <w:r w:rsidR="00CC32C5" w:rsidRPr="00CC32C5">
        <w:rPr>
          <w:sz w:val="28"/>
          <w:szCs w:val="28"/>
        </w:rPr>
        <w:lastRenderedPageBreak/>
        <w:t>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 w:rsidR="00CC32C5">
        <w:t xml:space="preserve"> </w:t>
      </w:r>
      <w:r>
        <w:rPr>
          <w:sz w:val="28"/>
          <w:szCs w:val="28"/>
        </w:rPr>
        <w:t>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</w:t>
      </w:r>
      <w:r w:rsidRPr="00743698">
        <w:rPr>
          <w:sz w:val="28"/>
          <w:szCs w:val="28"/>
        </w:rPr>
        <w:t xml:space="preserve">ений, </w:t>
      </w:r>
      <w:r w:rsidRPr="009B36E2">
        <w:rPr>
          <w:sz w:val="28"/>
          <w:szCs w:val="32"/>
        </w:rPr>
        <w:t>в течение двух из трех последних отчетных финансовых лет превышала 5 процентов доходов местного бюджета,</w:t>
      </w:r>
      <w:r>
        <w:rPr>
          <w:sz w:val="28"/>
          <w:szCs w:val="28"/>
        </w:rPr>
        <w:t xml:space="preserve"> </w:t>
      </w:r>
      <w:r w:rsidRPr="00743698">
        <w:rPr>
          <w:sz w:val="28"/>
          <w:szCs w:val="28"/>
        </w:rPr>
        <w:t xml:space="preserve">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</w:t>
      </w:r>
      <w:r>
        <w:rPr>
          <w:sz w:val="28"/>
          <w:szCs w:val="28"/>
        </w:rPr>
        <w:t>согласно приложению 2 к настоящему приказу;</w:t>
      </w:r>
    </w:p>
    <w:p w:rsidR="00FD2284" w:rsidRPr="00CC32C5" w:rsidRDefault="00FD2284" w:rsidP="00A80673">
      <w:pPr>
        <w:pStyle w:val="a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3) в бюджетах которых доля дотаций из других бюджетов бюджетной системы Российской Федерации</w:t>
      </w:r>
      <w:r w:rsidR="00CC32C5">
        <w:rPr>
          <w:sz w:val="28"/>
          <w:szCs w:val="28"/>
        </w:rPr>
        <w:t xml:space="preserve"> </w:t>
      </w:r>
      <w:r w:rsidR="00CC32C5" w:rsidRPr="00CC32C5">
        <w:rPr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 w:rsidR="00CC3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согласно приложению 3 к настоящему приказу; </w:t>
      </w:r>
    </w:p>
    <w:p w:rsidR="00FD2284" w:rsidRDefault="00FD2284" w:rsidP="00A80673">
      <w:pPr>
        <w:pStyle w:val="a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4) в бюджетах которых доля дотаций из других бюджетов бюджетной системы Российской Федерации</w:t>
      </w:r>
      <w:r w:rsidR="00CC32C5">
        <w:rPr>
          <w:sz w:val="28"/>
          <w:szCs w:val="28"/>
        </w:rPr>
        <w:t xml:space="preserve"> </w:t>
      </w:r>
      <w:r w:rsidR="00CC32C5" w:rsidRPr="00CC32C5">
        <w:rPr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 w:rsidR="00CC32C5">
        <w:t xml:space="preserve"> </w:t>
      </w:r>
      <w:r>
        <w:rPr>
          <w:sz w:val="28"/>
          <w:szCs w:val="28"/>
        </w:rPr>
        <w:t xml:space="preserve">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а также в муниципальных образованиях, которые не имеют годовой отчетности об исполнении местного </w:t>
      </w:r>
      <w:r>
        <w:rPr>
          <w:sz w:val="28"/>
          <w:szCs w:val="28"/>
        </w:rPr>
        <w:lastRenderedPageBreak/>
        <w:t>бюджета за один год и более из трех последних отчетных финансовых лет,</w:t>
      </w:r>
      <w:r w:rsidRPr="00B9414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 к настоящему приказу.</w:t>
      </w:r>
    </w:p>
    <w:p w:rsidR="00FD2284" w:rsidRPr="00B9414D" w:rsidRDefault="00FD2284" w:rsidP="00A80673">
      <w:pPr>
        <w:pStyle w:val="a3"/>
        <w:spacing w:after="0"/>
        <w:ind w:left="0" w:firstLine="709"/>
        <w:jc w:val="both"/>
      </w:pPr>
      <w:r w:rsidRPr="00D503C9">
        <w:rPr>
          <w:sz w:val="28"/>
          <w:szCs w:val="28"/>
        </w:rPr>
        <w:t xml:space="preserve">2. </w:t>
      </w:r>
      <w:r w:rsidR="00CC2CB9" w:rsidRPr="00AC6E1C">
        <w:rPr>
          <w:sz w:val="28"/>
        </w:rPr>
        <w:t xml:space="preserve">Настоящий приказ вступает в силу после дня </w:t>
      </w:r>
      <w:r w:rsidR="00CC2CB9">
        <w:rPr>
          <w:sz w:val="28"/>
        </w:rPr>
        <w:t>его официального опубликования</w:t>
      </w:r>
      <w:r w:rsidR="00CC2CB9" w:rsidRPr="00AC6E1C">
        <w:rPr>
          <w:sz w:val="28"/>
        </w:rPr>
        <w:t>.</w:t>
      </w:r>
    </w:p>
    <w:p w:rsidR="00F164C4" w:rsidRDefault="00F164C4" w:rsidP="005D2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54508" w:rsidRDefault="00C54508" w:rsidP="005D2B9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D2284" w:rsidRDefault="00FD2284" w:rsidP="005D2B9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3552"/>
        <w:gridCol w:w="2842"/>
      </w:tblGrid>
      <w:tr w:rsidR="00F164C4" w:rsidTr="00F164C4">
        <w:trPr>
          <w:trHeight w:val="665"/>
        </w:trPr>
        <w:tc>
          <w:tcPr>
            <w:tcW w:w="3269" w:type="dxa"/>
            <w:shd w:val="clear" w:color="auto" w:fill="auto"/>
            <w:tcMar>
              <w:left w:w="0" w:type="dxa"/>
              <w:right w:w="0" w:type="dxa"/>
            </w:tcMar>
          </w:tcPr>
          <w:p w:rsidR="00F164C4" w:rsidRDefault="00F164C4" w:rsidP="00814848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Министра</w:t>
            </w:r>
          </w:p>
        </w:tc>
        <w:tc>
          <w:tcPr>
            <w:tcW w:w="3552" w:type="dxa"/>
            <w:shd w:val="clear" w:color="auto" w:fill="auto"/>
            <w:tcMar>
              <w:left w:w="0" w:type="dxa"/>
              <w:right w:w="0" w:type="dxa"/>
            </w:tcMar>
          </w:tcPr>
          <w:p w:rsidR="00F164C4" w:rsidRDefault="00F164C4" w:rsidP="00814848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42" w:type="dxa"/>
            <w:shd w:val="clear" w:color="auto" w:fill="auto"/>
            <w:tcMar>
              <w:left w:w="0" w:type="dxa"/>
              <w:right w:w="0" w:type="dxa"/>
            </w:tcMar>
          </w:tcPr>
          <w:p w:rsidR="00F164C4" w:rsidRDefault="00F164C4" w:rsidP="008148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4C4" w:rsidRDefault="00F164C4" w:rsidP="008148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Л.В. Алексеева</w:t>
            </w:r>
          </w:p>
        </w:tc>
      </w:tr>
      <w:tr w:rsidR="00846171" w:rsidTr="00F164C4">
        <w:trPr>
          <w:trHeight w:val="583"/>
        </w:trPr>
        <w:tc>
          <w:tcPr>
            <w:tcW w:w="3269" w:type="dxa"/>
            <w:shd w:val="clear" w:color="auto" w:fill="auto"/>
            <w:tcMar>
              <w:left w:w="0" w:type="dxa"/>
              <w:right w:w="0" w:type="dxa"/>
            </w:tcMar>
          </w:tcPr>
          <w:p w:rsidR="00846171" w:rsidRDefault="00846171" w:rsidP="0084507C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552" w:type="dxa"/>
            <w:shd w:val="clear" w:color="auto" w:fill="auto"/>
            <w:tcMar>
              <w:left w:w="0" w:type="dxa"/>
              <w:right w:w="0" w:type="dxa"/>
            </w:tcMar>
          </w:tcPr>
          <w:p w:rsidR="00846171" w:rsidRDefault="00846171" w:rsidP="0084507C">
            <w:pPr>
              <w:spacing w:after="0" w:line="240" w:lineRule="auto"/>
              <w:ind w:right="-116"/>
              <w:rPr>
                <w:rFonts w:ascii="Times New Roman" w:hAnsi="Times New Roman"/>
                <w:sz w:val="28"/>
              </w:rPr>
            </w:pPr>
          </w:p>
        </w:tc>
        <w:tc>
          <w:tcPr>
            <w:tcW w:w="2842" w:type="dxa"/>
            <w:shd w:val="clear" w:color="auto" w:fill="auto"/>
            <w:tcMar>
              <w:left w:w="0" w:type="dxa"/>
              <w:right w:w="0" w:type="dxa"/>
            </w:tcMar>
          </w:tcPr>
          <w:p w:rsidR="00846171" w:rsidRDefault="00846171" w:rsidP="0084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AA0951" w:rsidRDefault="00AA0951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FD2284" w:rsidRDefault="00FD2284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FD2284" w:rsidRDefault="00FD2284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FD2284" w:rsidRDefault="00FD2284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FD2284" w:rsidRDefault="00FD2284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2CB9" w:rsidRDefault="00CC2CB9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CC32C5" w:rsidRDefault="00CC32C5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FD2284" w:rsidRDefault="00FD2284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4324"/>
        <w:gridCol w:w="720"/>
        <w:gridCol w:w="2157"/>
        <w:gridCol w:w="432"/>
        <w:gridCol w:w="1433"/>
      </w:tblGrid>
      <w:tr w:rsidR="00FD2284" w:rsidRPr="0052432A" w:rsidTr="00FD2284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Default="00FD2284" w:rsidP="006163CF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 w:rsidRPr="0052432A">
              <w:rPr>
                <w:rFonts w:ascii="Times New Roman" w:hAnsi="Times New Roman"/>
                <w:sz w:val="28"/>
              </w:rPr>
              <w:lastRenderedPageBreak/>
              <w:t>Приложение 1 к приказу                    Министерства финансов</w:t>
            </w:r>
          </w:p>
          <w:p w:rsidR="00FD2284" w:rsidRPr="0052432A" w:rsidRDefault="00FD2284" w:rsidP="006163CF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 w:rsidRPr="0052432A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FD2284" w:rsidRPr="0052432A" w:rsidTr="00FD2284">
        <w:trPr>
          <w:trHeight w:val="27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FD2284">
            <w:pPr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80" w:hanging="8080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</w:tr>
      <w:tr w:rsidR="00FD2284" w:rsidRPr="0052432A" w:rsidTr="00FD2284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CC32C5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FD2284" w:rsidRPr="0001207D" w:rsidRDefault="00FD2284" w:rsidP="00FD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07D">
        <w:rPr>
          <w:rFonts w:ascii="Times New Roman" w:hAnsi="Times New Roman"/>
          <w:sz w:val="28"/>
          <w:szCs w:val="28"/>
        </w:rPr>
        <w:t xml:space="preserve">Перечень муниципальных образований в Камчатском крае, </w:t>
      </w:r>
      <w:r w:rsidR="00CC32C5" w:rsidRPr="00CC32C5">
        <w:rPr>
          <w:rFonts w:ascii="Times New Roman" w:hAnsi="Times New Roman"/>
          <w:sz w:val="28"/>
          <w:szCs w:val="28"/>
        </w:rPr>
        <w:t>в бюджетах которых доля дотаций из других бюджетов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от налога на доходы физических лиц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в течение двух из трех последних отчетных финансовых лет не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:rsidR="00FD2284" w:rsidRPr="0001207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789" w:rsidRDefault="00475789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BEE">
        <w:rPr>
          <w:rFonts w:ascii="Times New Roman" w:hAnsi="Times New Roman"/>
          <w:sz w:val="28"/>
          <w:szCs w:val="28"/>
        </w:rPr>
        <w:t>Елизовское</w:t>
      </w:r>
      <w:proofErr w:type="spellEnd"/>
      <w:r w:rsidRPr="00A56BEE"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475789" w:rsidRDefault="00475789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4F1">
        <w:rPr>
          <w:rFonts w:ascii="Times New Roman" w:hAnsi="Times New Roman"/>
          <w:sz w:val="28"/>
          <w:szCs w:val="28"/>
        </w:rPr>
        <w:t>Паратунское</w:t>
      </w:r>
      <w:proofErr w:type="spellEnd"/>
      <w:r w:rsidRPr="00EE54F1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FD2284" w:rsidRDefault="00FD2284" w:rsidP="0047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07D">
        <w:rPr>
          <w:rFonts w:ascii="Times New Roman" w:hAnsi="Times New Roman"/>
          <w:sz w:val="28"/>
          <w:szCs w:val="28"/>
        </w:rPr>
        <w:t>Октябрьское городское поселение</w:t>
      </w:r>
    </w:p>
    <w:p w:rsidR="00475789" w:rsidRDefault="00475789" w:rsidP="0047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BEE">
        <w:rPr>
          <w:rFonts w:ascii="Times New Roman" w:hAnsi="Times New Roman"/>
          <w:sz w:val="28"/>
          <w:szCs w:val="28"/>
        </w:rPr>
        <w:t>Карагинский</w:t>
      </w:r>
      <w:proofErr w:type="spellEnd"/>
      <w:r w:rsidRPr="00A56BEE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475789" w:rsidRPr="00B910F6" w:rsidRDefault="00475789" w:rsidP="0047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>Сельское поселение «село Ивашка»</w:t>
      </w:r>
    </w:p>
    <w:p w:rsidR="00475789" w:rsidRPr="00475789" w:rsidRDefault="00475789" w:rsidP="0047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475789">
      <w:pPr>
        <w:spacing w:after="0" w:line="240" w:lineRule="auto"/>
        <w:rPr>
          <w:rFonts w:ascii="Times New Roman" w:hAnsi="Times New Roman"/>
          <w:color w:val="D9D9D9"/>
          <w:sz w:val="28"/>
        </w:rPr>
      </w:pPr>
    </w:p>
    <w:p w:rsidR="00475789" w:rsidRDefault="00475789" w:rsidP="00475789">
      <w:pPr>
        <w:spacing w:after="0" w:line="240" w:lineRule="auto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4D00F7">
      <w:pPr>
        <w:spacing w:after="0" w:line="240" w:lineRule="auto"/>
        <w:rPr>
          <w:rFonts w:ascii="Times New Roman" w:hAnsi="Times New Roman"/>
          <w:color w:val="D9D9D9"/>
          <w:sz w:val="28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4324"/>
        <w:gridCol w:w="720"/>
        <w:gridCol w:w="2157"/>
        <w:gridCol w:w="432"/>
        <w:gridCol w:w="1433"/>
      </w:tblGrid>
      <w:tr w:rsidR="00FD2284" w:rsidRPr="0052432A" w:rsidTr="006163CF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Default="00FD2284" w:rsidP="006163CF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  <w:r w:rsidRPr="0052432A">
              <w:rPr>
                <w:rFonts w:ascii="Times New Roman" w:hAnsi="Times New Roman"/>
                <w:sz w:val="28"/>
              </w:rPr>
              <w:t xml:space="preserve"> к приказу                    Министерства финансов</w:t>
            </w:r>
          </w:p>
          <w:p w:rsidR="00FD2284" w:rsidRPr="0052432A" w:rsidRDefault="00FD2284" w:rsidP="006163CF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 w:rsidRPr="0052432A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FD2284" w:rsidRPr="0052432A" w:rsidTr="006163CF">
        <w:trPr>
          <w:trHeight w:val="27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80" w:hanging="8080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</w:tr>
      <w:tr w:rsidR="00FD2284" w:rsidRPr="0052432A" w:rsidTr="006163CF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CC32C5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BEE">
        <w:rPr>
          <w:rFonts w:ascii="Times New Roman" w:hAnsi="Times New Roman"/>
          <w:sz w:val="28"/>
          <w:szCs w:val="28"/>
        </w:rPr>
        <w:t xml:space="preserve">Перечень муниципальных образований в Камчатском крае, </w:t>
      </w:r>
      <w:r w:rsidR="00CC32C5" w:rsidRPr="00CC32C5">
        <w:rPr>
          <w:rFonts w:ascii="Times New Roman" w:hAnsi="Times New Roman"/>
          <w:sz w:val="28"/>
          <w:szCs w:val="28"/>
        </w:rPr>
        <w:t>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84" w:rsidRPr="0001207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07D">
        <w:rPr>
          <w:rFonts w:ascii="Times New Roman" w:hAnsi="Times New Roman"/>
          <w:sz w:val="28"/>
          <w:szCs w:val="28"/>
        </w:rPr>
        <w:t>Петропавловск-Камчатский городской округ</w:t>
      </w:r>
    </w:p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BEE">
        <w:rPr>
          <w:rFonts w:ascii="Times New Roman" w:hAnsi="Times New Roman"/>
          <w:sz w:val="28"/>
          <w:szCs w:val="28"/>
        </w:rPr>
        <w:t>Елизовский</w:t>
      </w:r>
      <w:proofErr w:type="spellEnd"/>
      <w:r w:rsidRPr="00A56BEE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BEE">
        <w:rPr>
          <w:rFonts w:ascii="Times New Roman" w:hAnsi="Times New Roman"/>
          <w:sz w:val="28"/>
          <w:szCs w:val="28"/>
        </w:rPr>
        <w:t>Вулканное</w:t>
      </w:r>
      <w:proofErr w:type="spellEnd"/>
      <w:r w:rsidRPr="00A56BEE"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BEE">
        <w:rPr>
          <w:rFonts w:ascii="Times New Roman" w:hAnsi="Times New Roman"/>
          <w:sz w:val="28"/>
          <w:szCs w:val="28"/>
        </w:rPr>
        <w:t>Корякское сельское поселение</w:t>
      </w:r>
    </w:p>
    <w:p w:rsidR="00475789" w:rsidRDefault="00475789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BEE">
        <w:rPr>
          <w:rFonts w:ascii="Times New Roman" w:hAnsi="Times New Roman"/>
          <w:sz w:val="28"/>
          <w:szCs w:val="28"/>
        </w:rPr>
        <w:t>Начикинское</w:t>
      </w:r>
      <w:proofErr w:type="spellEnd"/>
      <w:r w:rsidRPr="00A56BEE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4F1">
        <w:rPr>
          <w:rFonts w:ascii="Times New Roman" w:hAnsi="Times New Roman"/>
          <w:sz w:val="28"/>
          <w:szCs w:val="28"/>
        </w:rPr>
        <w:t>Николаевское сельское поселение</w:t>
      </w:r>
    </w:p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BEE">
        <w:rPr>
          <w:rFonts w:ascii="Times New Roman" w:hAnsi="Times New Roman"/>
          <w:sz w:val="28"/>
          <w:szCs w:val="28"/>
        </w:rPr>
        <w:t>Новолесновское</w:t>
      </w:r>
      <w:proofErr w:type="spellEnd"/>
      <w:r w:rsidRPr="00A56BEE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BEE">
        <w:rPr>
          <w:rFonts w:ascii="Times New Roman" w:hAnsi="Times New Roman"/>
          <w:sz w:val="28"/>
          <w:szCs w:val="28"/>
        </w:rPr>
        <w:t>Пионерское сельское поселение</w:t>
      </w:r>
    </w:p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55D">
        <w:rPr>
          <w:rFonts w:ascii="Times New Roman" w:hAnsi="Times New Roman"/>
          <w:sz w:val="28"/>
          <w:szCs w:val="28"/>
        </w:rPr>
        <w:t>Раздольненское</w:t>
      </w:r>
      <w:proofErr w:type="spellEnd"/>
      <w:r w:rsidRPr="0040055D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BEE">
        <w:rPr>
          <w:rFonts w:ascii="Times New Roman" w:hAnsi="Times New Roman"/>
          <w:sz w:val="28"/>
          <w:szCs w:val="28"/>
        </w:rPr>
        <w:t>Усть</w:t>
      </w:r>
      <w:proofErr w:type="spellEnd"/>
      <w:r w:rsidRPr="00A56BEE">
        <w:rPr>
          <w:rFonts w:ascii="Times New Roman" w:hAnsi="Times New Roman"/>
          <w:sz w:val="28"/>
          <w:szCs w:val="28"/>
        </w:rPr>
        <w:t>-Большерецкий муниципальный район</w:t>
      </w:r>
    </w:p>
    <w:p w:rsidR="00FD2284" w:rsidRPr="0001207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07D">
        <w:rPr>
          <w:rFonts w:ascii="Times New Roman" w:hAnsi="Times New Roman"/>
          <w:sz w:val="28"/>
          <w:szCs w:val="28"/>
        </w:rPr>
        <w:t>Озерновское</w:t>
      </w:r>
      <w:proofErr w:type="spellEnd"/>
      <w:r w:rsidRPr="0001207D"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BEE">
        <w:rPr>
          <w:rFonts w:ascii="Times New Roman" w:hAnsi="Times New Roman"/>
          <w:sz w:val="28"/>
          <w:szCs w:val="28"/>
        </w:rPr>
        <w:t>Соболевский муниципальный район</w:t>
      </w:r>
    </w:p>
    <w:p w:rsidR="00FD2284" w:rsidRPr="0001207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40055D">
        <w:rPr>
          <w:rFonts w:ascii="Times New Roman" w:hAnsi="Times New Roman"/>
          <w:sz w:val="28"/>
          <w:szCs w:val="28"/>
        </w:rPr>
        <w:t>Пахачи</w:t>
      </w:r>
      <w:proofErr w:type="spellEnd"/>
      <w:r w:rsidRPr="0040055D">
        <w:rPr>
          <w:rFonts w:ascii="Times New Roman" w:hAnsi="Times New Roman"/>
          <w:sz w:val="28"/>
          <w:szCs w:val="28"/>
        </w:rPr>
        <w:t>»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BEE">
        <w:rPr>
          <w:rFonts w:ascii="Times New Roman" w:hAnsi="Times New Roman"/>
          <w:sz w:val="28"/>
          <w:szCs w:val="28"/>
        </w:rPr>
        <w:t xml:space="preserve">Сельское поселение «поселок </w:t>
      </w:r>
      <w:proofErr w:type="spellStart"/>
      <w:r w:rsidRPr="00A56BEE">
        <w:rPr>
          <w:rFonts w:ascii="Times New Roman" w:hAnsi="Times New Roman"/>
          <w:sz w:val="28"/>
          <w:szCs w:val="28"/>
        </w:rPr>
        <w:t>Оссора</w:t>
      </w:r>
      <w:proofErr w:type="spellEnd"/>
      <w:r w:rsidRPr="00A56BEE">
        <w:rPr>
          <w:rFonts w:ascii="Times New Roman" w:hAnsi="Times New Roman"/>
          <w:sz w:val="28"/>
          <w:szCs w:val="28"/>
        </w:rPr>
        <w:t>»</w:t>
      </w: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475789" w:rsidRDefault="00475789" w:rsidP="00CC32C5">
      <w:pPr>
        <w:spacing w:after="0" w:line="240" w:lineRule="auto"/>
        <w:rPr>
          <w:rFonts w:ascii="Times New Roman" w:hAnsi="Times New Roman"/>
          <w:color w:val="D9D9D9"/>
          <w:sz w:val="28"/>
        </w:rPr>
      </w:pPr>
    </w:p>
    <w:p w:rsidR="00CC32C5" w:rsidRDefault="00CC32C5" w:rsidP="00CC32C5">
      <w:pPr>
        <w:spacing w:after="0" w:line="240" w:lineRule="auto"/>
        <w:rPr>
          <w:rFonts w:ascii="Times New Roman" w:hAnsi="Times New Roman"/>
          <w:color w:val="D9D9D9"/>
          <w:sz w:val="28"/>
        </w:rPr>
      </w:pPr>
    </w:p>
    <w:p w:rsidR="00475789" w:rsidRDefault="00475789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475789" w:rsidRDefault="00475789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CC32C5" w:rsidRDefault="00CC32C5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  <w:bookmarkStart w:id="1" w:name="_GoBack"/>
      <w:bookmarkEnd w:id="1"/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4324"/>
        <w:gridCol w:w="720"/>
        <w:gridCol w:w="2157"/>
        <w:gridCol w:w="432"/>
        <w:gridCol w:w="1433"/>
      </w:tblGrid>
      <w:tr w:rsidR="00FD2284" w:rsidRPr="0052432A" w:rsidTr="006163CF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Default="00FD2284" w:rsidP="006163CF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3</w:t>
            </w:r>
            <w:r w:rsidRPr="0052432A">
              <w:rPr>
                <w:rFonts w:ascii="Times New Roman" w:hAnsi="Times New Roman"/>
                <w:sz w:val="28"/>
              </w:rPr>
              <w:t xml:space="preserve"> к приказу                    Министерства финансов</w:t>
            </w:r>
          </w:p>
          <w:p w:rsidR="00FD2284" w:rsidRPr="0052432A" w:rsidRDefault="00FD2284" w:rsidP="006163CF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 w:rsidRPr="0052432A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FD2284" w:rsidRPr="0052432A" w:rsidTr="006163CF">
        <w:trPr>
          <w:trHeight w:val="27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80" w:hanging="8080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</w:tr>
      <w:tr w:rsidR="00FD2284" w:rsidRPr="0052432A" w:rsidTr="006163CF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CC32C5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FD2284" w:rsidRPr="0040055D" w:rsidRDefault="00FD2284" w:rsidP="00FD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 xml:space="preserve">Перечень муниципальных образований в Камчатском крае, </w:t>
      </w:r>
      <w:r w:rsidR="00CC32C5" w:rsidRPr="00CC32C5">
        <w:rPr>
          <w:rFonts w:ascii="Times New Roman" w:hAnsi="Times New Roman"/>
          <w:sz w:val="28"/>
          <w:szCs w:val="28"/>
        </w:rPr>
        <w:t>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BEE">
        <w:rPr>
          <w:rFonts w:ascii="Times New Roman" w:hAnsi="Times New Roman"/>
          <w:sz w:val="28"/>
          <w:szCs w:val="28"/>
        </w:rPr>
        <w:t>Новоавачинское</w:t>
      </w:r>
      <w:proofErr w:type="spellEnd"/>
      <w:r w:rsidRPr="00A56BEE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FD2284" w:rsidRPr="0040055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55D">
        <w:rPr>
          <w:rFonts w:ascii="Times New Roman" w:hAnsi="Times New Roman"/>
          <w:sz w:val="28"/>
          <w:szCs w:val="28"/>
        </w:rPr>
        <w:t>Усть</w:t>
      </w:r>
      <w:proofErr w:type="spellEnd"/>
      <w:r w:rsidRPr="0040055D">
        <w:rPr>
          <w:rFonts w:ascii="Times New Roman" w:hAnsi="Times New Roman"/>
          <w:sz w:val="28"/>
          <w:szCs w:val="28"/>
        </w:rPr>
        <w:t xml:space="preserve">-Камчатский муниципальный </w:t>
      </w:r>
      <w:r w:rsidR="00475789">
        <w:rPr>
          <w:rFonts w:ascii="Times New Roman" w:hAnsi="Times New Roman"/>
          <w:sz w:val="28"/>
          <w:szCs w:val="28"/>
        </w:rPr>
        <w:t>округ</w:t>
      </w:r>
    </w:p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6BEE">
        <w:rPr>
          <w:rFonts w:ascii="Times New Roman" w:hAnsi="Times New Roman"/>
          <w:sz w:val="28"/>
          <w:szCs w:val="28"/>
        </w:rPr>
        <w:t xml:space="preserve">Запорожское сельское поселение </w:t>
      </w:r>
    </w:p>
    <w:p w:rsidR="00FD2284" w:rsidRPr="00A56BEE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BEE">
        <w:rPr>
          <w:rFonts w:ascii="Times New Roman" w:hAnsi="Times New Roman"/>
          <w:sz w:val="28"/>
          <w:szCs w:val="28"/>
        </w:rPr>
        <w:t>Усть-Большерецкое</w:t>
      </w:r>
      <w:proofErr w:type="spellEnd"/>
      <w:r w:rsidRPr="00A56BEE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FD2284" w:rsidRPr="0040055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55D">
        <w:rPr>
          <w:rFonts w:ascii="Times New Roman" w:hAnsi="Times New Roman"/>
          <w:sz w:val="28"/>
          <w:szCs w:val="28"/>
        </w:rPr>
        <w:t>Соболевское</w:t>
      </w:r>
      <w:proofErr w:type="spellEnd"/>
      <w:r w:rsidRPr="0040055D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FD2284" w:rsidRPr="0040055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>Устьевое сельское поселение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55D">
        <w:rPr>
          <w:rFonts w:ascii="Times New Roman" w:hAnsi="Times New Roman"/>
          <w:sz w:val="28"/>
          <w:szCs w:val="28"/>
        </w:rPr>
        <w:t>Крутогоровское</w:t>
      </w:r>
      <w:proofErr w:type="spellEnd"/>
      <w:r w:rsidRPr="0040055D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475789" w:rsidRDefault="00475789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55D">
        <w:rPr>
          <w:rFonts w:ascii="Times New Roman" w:hAnsi="Times New Roman"/>
          <w:sz w:val="28"/>
          <w:szCs w:val="28"/>
        </w:rPr>
        <w:t>Мильковский</w:t>
      </w:r>
      <w:proofErr w:type="spellEnd"/>
      <w:r w:rsidRPr="0040055D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>округ</w:t>
      </w:r>
    </w:p>
    <w:p w:rsidR="00FD2284" w:rsidRPr="0040055D" w:rsidRDefault="00A40BB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Быстринский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</w:p>
    <w:p w:rsidR="00FD2284" w:rsidRPr="0040055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55D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Pr="0040055D">
        <w:rPr>
          <w:rFonts w:ascii="Times New Roman" w:hAnsi="Times New Roman"/>
          <w:sz w:val="28"/>
          <w:szCs w:val="28"/>
        </w:rPr>
        <w:t xml:space="preserve"> городской округ</w:t>
      </w:r>
    </w:p>
    <w:p w:rsidR="00FD2284" w:rsidRPr="0040055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>Городской округ «поселок Палана»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55D">
        <w:rPr>
          <w:rFonts w:ascii="Times New Roman" w:hAnsi="Times New Roman"/>
          <w:sz w:val="28"/>
          <w:szCs w:val="28"/>
        </w:rPr>
        <w:t>Олюторский</w:t>
      </w:r>
      <w:proofErr w:type="spellEnd"/>
      <w:r w:rsidRPr="0040055D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FD2284" w:rsidRPr="0040055D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40055D">
        <w:rPr>
          <w:rFonts w:ascii="Times New Roman" w:hAnsi="Times New Roman"/>
          <w:sz w:val="28"/>
          <w:szCs w:val="28"/>
        </w:rPr>
        <w:t>Апука</w:t>
      </w:r>
      <w:proofErr w:type="spellEnd"/>
      <w:r w:rsidRPr="0040055D">
        <w:rPr>
          <w:rFonts w:ascii="Times New Roman" w:hAnsi="Times New Roman"/>
          <w:sz w:val="28"/>
          <w:szCs w:val="28"/>
        </w:rPr>
        <w:t>»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55D">
        <w:rPr>
          <w:rFonts w:ascii="Times New Roman" w:hAnsi="Times New Roman"/>
          <w:sz w:val="28"/>
          <w:szCs w:val="28"/>
        </w:rPr>
        <w:t>Пенжинский</w:t>
      </w:r>
      <w:proofErr w:type="spellEnd"/>
      <w:r w:rsidRPr="0040055D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475789" w:rsidRDefault="00475789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A847DC">
        <w:rPr>
          <w:rFonts w:ascii="Times New Roman" w:hAnsi="Times New Roman"/>
          <w:sz w:val="28"/>
          <w:szCs w:val="28"/>
        </w:rPr>
        <w:t>Слаутное</w:t>
      </w:r>
      <w:proofErr w:type="spellEnd"/>
      <w:r w:rsidRPr="00A847DC">
        <w:rPr>
          <w:rFonts w:ascii="Times New Roman" w:hAnsi="Times New Roman"/>
          <w:sz w:val="28"/>
          <w:szCs w:val="28"/>
        </w:rPr>
        <w:t>»</w:t>
      </w: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475789" w:rsidRDefault="00475789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CC32C5" w:rsidRDefault="00CC32C5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475789" w:rsidRDefault="00475789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475789" w:rsidRDefault="00475789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p w:rsidR="00FD2284" w:rsidRDefault="00FD2284" w:rsidP="00475789">
      <w:pPr>
        <w:spacing w:after="0" w:line="240" w:lineRule="auto"/>
        <w:rPr>
          <w:rFonts w:ascii="Times New Roman" w:hAnsi="Times New Roman"/>
          <w:color w:val="D9D9D9"/>
          <w:sz w:val="28"/>
        </w:rPr>
      </w:pPr>
    </w:p>
    <w:p w:rsidR="00475789" w:rsidRDefault="00475789" w:rsidP="00475789">
      <w:pPr>
        <w:spacing w:after="0" w:line="240" w:lineRule="auto"/>
        <w:rPr>
          <w:rFonts w:ascii="Times New Roman" w:hAnsi="Times New Roman"/>
          <w:color w:val="D9D9D9"/>
          <w:sz w:val="28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4324"/>
        <w:gridCol w:w="720"/>
        <w:gridCol w:w="2157"/>
        <w:gridCol w:w="432"/>
        <w:gridCol w:w="1433"/>
      </w:tblGrid>
      <w:tr w:rsidR="00FD2284" w:rsidRPr="0052432A" w:rsidTr="006163CF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Default="00FD2284" w:rsidP="006163CF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4</w:t>
            </w:r>
            <w:r w:rsidRPr="0052432A">
              <w:rPr>
                <w:rFonts w:ascii="Times New Roman" w:hAnsi="Times New Roman"/>
                <w:sz w:val="28"/>
              </w:rPr>
              <w:t xml:space="preserve"> к приказу                    Министерства финансов</w:t>
            </w:r>
          </w:p>
          <w:p w:rsidR="00FD2284" w:rsidRPr="0052432A" w:rsidRDefault="00FD2284" w:rsidP="006163CF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 w:rsidRPr="0052432A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FD2284" w:rsidRPr="0052432A" w:rsidTr="006163CF">
        <w:trPr>
          <w:trHeight w:val="27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6163CF">
            <w:pPr>
              <w:spacing w:after="0" w:line="240" w:lineRule="auto"/>
              <w:ind w:left="8080" w:hanging="8080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</w:tr>
      <w:tr w:rsidR="00FD2284" w:rsidRPr="0052432A" w:rsidTr="006163CF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4" w:rsidRPr="0052432A" w:rsidRDefault="00FD2284" w:rsidP="00F60B32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FD2284" w:rsidRPr="00A847DC" w:rsidRDefault="00FD2284" w:rsidP="00FD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 xml:space="preserve">Перечень муниципальных образований в </w:t>
      </w:r>
      <w:r w:rsidRPr="00B9414D">
        <w:rPr>
          <w:rFonts w:ascii="Times New Roman" w:hAnsi="Times New Roman"/>
          <w:sz w:val="28"/>
          <w:szCs w:val="28"/>
        </w:rPr>
        <w:t xml:space="preserve">Камчатском крае, </w:t>
      </w:r>
      <w:r w:rsidR="00F60B32" w:rsidRPr="00F60B32">
        <w:rPr>
          <w:rFonts w:ascii="Times New Roman" w:hAnsi="Times New Roman"/>
          <w:sz w:val="28"/>
          <w:szCs w:val="28"/>
        </w:rPr>
        <w:t>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а также в муниципальных образованиях, которые не имеют годовой отчетности об исполнении местного бюджета за один год и более из трех последних отчетных финансовых лет</w:t>
      </w:r>
    </w:p>
    <w:p w:rsidR="00FD2284" w:rsidRPr="00A847DC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55D">
        <w:rPr>
          <w:rFonts w:ascii="Times New Roman" w:hAnsi="Times New Roman"/>
          <w:sz w:val="28"/>
          <w:szCs w:val="28"/>
        </w:rPr>
        <w:t>Апачинское</w:t>
      </w:r>
      <w:proofErr w:type="spellEnd"/>
      <w:r w:rsidRPr="0040055D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>Кавалерское сельское поселение</w:t>
      </w:r>
    </w:p>
    <w:p w:rsidR="00FD2284" w:rsidRPr="00A847DC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 xml:space="preserve">Алеутский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A847DC">
        <w:rPr>
          <w:rFonts w:ascii="Times New Roman" w:hAnsi="Times New Roman"/>
          <w:sz w:val="28"/>
          <w:szCs w:val="28"/>
        </w:rPr>
        <w:t>Тиличики</w:t>
      </w:r>
      <w:proofErr w:type="spellEnd"/>
      <w:r w:rsidRPr="00A847DC">
        <w:rPr>
          <w:rFonts w:ascii="Times New Roman" w:hAnsi="Times New Roman"/>
          <w:sz w:val="28"/>
          <w:szCs w:val="28"/>
        </w:rPr>
        <w:t>»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40055D">
        <w:rPr>
          <w:rFonts w:ascii="Times New Roman" w:hAnsi="Times New Roman"/>
          <w:sz w:val="28"/>
          <w:szCs w:val="28"/>
        </w:rPr>
        <w:t>Вывенка</w:t>
      </w:r>
      <w:proofErr w:type="spellEnd"/>
      <w:r w:rsidRPr="0040055D">
        <w:rPr>
          <w:rFonts w:ascii="Times New Roman" w:hAnsi="Times New Roman"/>
          <w:sz w:val="28"/>
          <w:szCs w:val="28"/>
        </w:rPr>
        <w:t>»</w:t>
      </w:r>
    </w:p>
    <w:p w:rsidR="00FD2284" w:rsidRPr="00A847DC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40055D">
        <w:rPr>
          <w:rFonts w:ascii="Times New Roman" w:hAnsi="Times New Roman"/>
          <w:sz w:val="28"/>
          <w:szCs w:val="28"/>
        </w:rPr>
        <w:t>Хаилино</w:t>
      </w:r>
      <w:proofErr w:type="spellEnd"/>
      <w:r w:rsidRPr="0040055D">
        <w:rPr>
          <w:rFonts w:ascii="Times New Roman" w:hAnsi="Times New Roman"/>
          <w:sz w:val="28"/>
          <w:szCs w:val="28"/>
        </w:rPr>
        <w:t>»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 xml:space="preserve">Сельское поселение «село Средние </w:t>
      </w:r>
      <w:proofErr w:type="spellStart"/>
      <w:r w:rsidRPr="00A847DC">
        <w:rPr>
          <w:rFonts w:ascii="Times New Roman" w:hAnsi="Times New Roman"/>
          <w:sz w:val="28"/>
          <w:szCs w:val="28"/>
        </w:rPr>
        <w:t>Пахачи</w:t>
      </w:r>
      <w:proofErr w:type="spellEnd"/>
      <w:r w:rsidRPr="00A847DC">
        <w:rPr>
          <w:rFonts w:ascii="Times New Roman" w:hAnsi="Times New Roman"/>
          <w:sz w:val="28"/>
          <w:szCs w:val="28"/>
        </w:rPr>
        <w:t>»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40055D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40055D">
        <w:rPr>
          <w:rFonts w:ascii="Times New Roman" w:hAnsi="Times New Roman"/>
          <w:sz w:val="28"/>
          <w:szCs w:val="28"/>
        </w:rPr>
        <w:t>»</w:t>
      </w:r>
    </w:p>
    <w:p w:rsidR="00FD2284" w:rsidRPr="00A847DC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A847DC">
        <w:rPr>
          <w:rFonts w:ascii="Times New Roman" w:hAnsi="Times New Roman"/>
          <w:sz w:val="28"/>
          <w:szCs w:val="28"/>
        </w:rPr>
        <w:t>Карага</w:t>
      </w:r>
      <w:proofErr w:type="spellEnd"/>
      <w:r w:rsidRPr="00A847DC">
        <w:rPr>
          <w:rFonts w:ascii="Times New Roman" w:hAnsi="Times New Roman"/>
          <w:sz w:val="28"/>
          <w:szCs w:val="28"/>
        </w:rPr>
        <w:t>»</w:t>
      </w:r>
    </w:p>
    <w:p w:rsidR="00FD2284" w:rsidRPr="00A847DC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A847DC">
        <w:rPr>
          <w:rFonts w:ascii="Times New Roman" w:hAnsi="Times New Roman"/>
          <w:sz w:val="28"/>
          <w:szCs w:val="28"/>
        </w:rPr>
        <w:t>Тымлат</w:t>
      </w:r>
      <w:proofErr w:type="spellEnd"/>
      <w:r w:rsidRPr="00A847DC">
        <w:rPr>
          <w:rFonts w:ascii="Times New Roman" w:hAnsi="Times New Roman"/>
          <w:sz w:val="28"/>
          <w:szCs w:val="28"/>
        </w:rPr>
        <w:t>»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A847DC">
        <w:rPr>
          <w:rFonts w:ascii="Times New Roman" w:hAnsi="Times New Roman"/>
          <w:sz w:val="28"/>
          <w:szCs w:val="28"/>
        </w:rPr>
        <w:t>Ильпырское</w:t>
      </w:r>
      <w:proofErr w:type="spellEnd"/>
      <w:r w:rsidRPr="00A847DC">
        <w:rPr>
          <w:rFonts w:ascii="Times New Roman" w:hAnsi="Times New Roman"/>
          <w:sz w:val="28"/>
          <w:szCs w:val="28"/>
        </w:rPr>
        <w:t>»</w:t>
      </w:r>
    </w:p>
    <w:p w:rsidR="00475789" w:rsidRDefault="00475789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Тигильский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>Сельское поселение «село Каменское»</w:t>
      </w:r>
    </w:p>
    <w:p w:rsidR="00FD2284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>Сельское поселение «село Манилы»</w:t>
      </w:r>
    </w:p>
    <w:p w:rsidR="00FD2284" w:rsidRPr="00A847DC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55D"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r w:rsidRPr="0040055D">
        <w:rPr>
          <w:rFonts w:ascii="Times New Roman" w:hAnsi="Times New Roman"/>
          <w:sz w:val="28"/>
          <w:szCs w:val="28"/>
        </w:rPr>
        <w:t>Аянка</w:t>
      </w:r>
      <w:proofErr w:type="spellEnd"/>
      <w:r w:rsidRPr="0040055D">
        <w:rPr>
          <w:rFonts w:ascii="Times New Roman" w:hAnsi="Times New Roman"/>
          <w:sz w:val="28"/>
          <w:szCs w:val="28"/>
        </w:rPr>
        <w:t>»</w:t>
      </w:r>
    </w:p>
    <w:p w:rsidR="00FD2284" w:rsidRPr="00A847DC" w:rsidRDefault="00FD2284" w:rsidP="00F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47DC">
        <w:rPr>
          <w:rFonts w:ascii="Times New Roman" w:hAnsi="Times New Roman"/>
          <w:sz w:val="28"/>
          <w:szCs w:val="28"/>
        </w:rPr>
        <w:t>Сельское поселение «село Таловка»</w:t>
      </w:r>
    </w:p>
    <w:p w:rsidR="00FD2284" w:rsidRDefault="00FD2284" w:rsidP="00FD2284">
      <w:pPr>
        <w:spacing w:after="0" w:line="240" w:lineRule="auto"/>
        <w:jc w:val="center"/>
        <w:rPr>
          <w:rFonts w:ascii="Times New Roman" w:hAnsi="Times New Roman"/>
          <w:color w:val="D9D9D9"/>
          <w:sz w:val="28"/>
        </w:rPr>
      </w:pPr>
    </w:p>
    <w:sectPr w:rsidR="00FD2284" w:rsidSect="002A3503">
      <w:headerReference w:type="default" r:id="rId8"/>
      <w:pgSz w:w="11906" w:h="16838"/>
      <w:pgMar w:top="1134" w:right="851" w:bottom="73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B6" w:rsidRDefault="004365B2">
      <w:pPr>
        <w:spacing w:after="0" w:line="240" w:lineRule="auto"/>
      </w:pPr>
      <w:r>
        <w:separator/>
      </w:r>
    </w:p>
  </w:endnote>
  <w:endnote w:type="continuationSeparator" w:id="0">
    <w:p w:rsidR="007049B6" w:rsidRDefault="0043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B6" w:rsidRDefault="004365B2">
      <w:pPr>
        <w:spacing w:after="0" w:line="240" w:lineRule="auto"/>
      </w:pPr>
      <w:r>
        <w:separator/>
      </w:r>
    </w:p>
  </w:footnote>
  <w:footnote w:type="continuationSeparator" w:id="0">
    <w:p w:rsidR="007049B6" w:rsidRDefault="0043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51" w:rsidRDefault="004365B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4D00F7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AA0951" w:rsidRDefault="00AA0951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0B57"/>
    <w:multiLevelType w:val="hybridMultilevel"/>
    <w:tmpl w:val="ED1879C2"/>
    <w:lvl w:ilvl="0" w:tplc="AA586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015B0"/>
    <w:multiLevelType w:val="multilevel"/>
    <w:tmpl w:val="51E889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4327C"/>
    <w:multiLevelType w:val="multilevel"/>
    <w:tmpl w:val="E73230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E003BB"/>
    <w:multiLevelType w:val="hybridMultilevel"/>
    <w:tmpl w:val="411A083E"/>
    <w:lvl w:ilvl="0" w:tplc="4754A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BE3212"/>
    <w:multiLevelType w:val="hybridMultilevel"/>
    <w:tmpl w:val="2EDABE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802CB9"/>
    <w:multiLevelType w:val="multilevel"/>
    <w:tmpl w:val="07E05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D66326"/>
    <w:multiLevelType w:val="hybridMultilevel"/>
    <w:tmpl w:val="03B4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A24A3"/>
    <w:multiLevelType w:val="hybridMultilevel"/>
    <w:tmpl w:val="5C606BEE"/>
    <w:lvl w:ilvl="0" w:tplc="D9486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3D0E90"/>
    <w:multiLevelType w:val="multilevel"/>
    <w:tmpl w:val="C330BA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1"/>
    <w:rsid w:val="000043CF"/>
    <w:rsid w:val="00026694"/>
    <w:rsid w:val="00077647"/>
    <w:rsid w:val="00077EF4"/>
    <w:rsid w:val="000C1E87"/>
    <w:rsid w:val="000C6CC8"/>
    <w:rsid w:val="000D4379"/>
    <w:rsid w:val="0011579D"/>
    <w:rsid w:val="001C30E6"/>
    <w:rsid w:val="001E6A18"/>
    <w:rsid w:val="00227F15"/>
    <w:rsid w:val="00231D83"/>
    <w:rsid w:val="002A3503"/>
    <w:rsid w:val="002A7645"/>
    <w:rsid w:val="002C5EE8"/>
    <w:rsid w:val="002D3802"/>
    <w:rsid w:val="002D3C17"/>
    <w:rsid w:val="002F5E57"/>
    <w:rsid w:val="002F7A04"/>
    <w:rsid w:val="00345ED0"/>
    <w:rsid w:val="00397EA8"/>
    <w:rsid w:val="003E28FB"/>
    <w:rsid w:val="003E2C9A"/>
    <w:rsid w:val="00405F27"/>
    <w:rsid w:val="004365B2"/>
    <w:rsid w:val="00444E22"/>
    <w:rsid w:val="004466D0"/>
    <w:rsid w:val="00475789"/>
    <w:rsid w:val="00485764"/>
    <w:rsid w:val="004C304A"/>
    <w:rsid w:val="004D00F7"/>
    <w:rsid w:val="004F002F"/>
    <w:rsid w:val="004F2A46"/>
    <w:rsid w:val="00531285"/>
    <w:rsid w:val="0053732E"/>
    <w:rsid w:val="005466A7"/>
    <w:rsid w:val="005809F1"/>
    <w:rsid w:val="005B110E"/>
    <w:rsid w:val="005C3060"/>
    <w:rsid w:val="005D2B96"/>
    <w:rsid w:val="0063193B"/>
    <w:rsid w:val="0063455C"/>
    <w:rsid w:val="00665FF7"/>
    <w:rsid w:val="006B4E0D"/>
    <w:rsid w:val="006D41B3"/>
    <w:rsid w:val="00703EB2"/>
    <w:rsid w:val="007049B6"/>
    <w:rsid w:val="00704CF2"/>
    <w:rsid w:val="00716B55"/>
    <w:rsid w:val="0073690F"/>
    <w:rsid w:val="007E63F2"/>
    <w:rsid w:val="00810C74"/>
    <w:rsid w:val="00817290"/>
    <w:rsid w:val="00842CEE"/>
    <w:rsid w:val="00846171"/>
    <w:rsid w:val="00862F40"/>
    <w:rsid w:val="00870E11"/>
    <w:rsid w:val="00906113"/>
    <w:rsid w:val="009364F7"/>
    <w:rsid w:val="00940C93"/>
    <w:rsid w:val="009C2BCB"/>
    <w:rsid w:val="009F0FD0"/>
    <w:rsid w:val="00A16CF5"/>
    <w:rsid w:val="00A23909"/>
    <w:rsid w:val="00A34F06"/>
    <w:rsid w:val="00A40BB4"/>
    <w:rsid w:val="00A77939"/>
    <w:rsid w:val="00A80673"/>
    <w:rsid w:val="00AA0951"/>
    <w:rsid w:val="00AB303E"/>
    <w:rsid w:val="00AC6E1C"/>
    <w:rsid w:val="00AE44EA"/>
    <w:rsid w:val="00B14207"/>
    <w:rsid w:val="00B16733"/>
    <w:rsid w:val="00B261F2"/>
    <w:rsid w:val="00BB0599"/>
    <w:rsid w:val="00BB63EF"/>
    <w:rsid w:val="00BC587F"/>
    <w:rsid w:val="00C011CB"/>
    <w:rsid w:val="00C26C48"/>
    <w:rsid w:val="00C32F54"/>
    <w:rsid w:val="00C54508"/>
    <w:rsid w:val="00C726B8"/>
    <w:rsid w:val="00CA4FD4"/>
    <w:rsid w:val="00CB57A6"/>
    <w:rsid w:val="00CC2CB9"/>
    <w:rsid w:val="00CC32C5"/>
    <w:rsid w:val="00CD3ADE"/>
    <w:rsid w:val="00D5387E"/>
    <w:rsid w:val="00D6053C"/>
    <w:rsid w:val="00D913C6"/>
    <w:rsid w:val="00DE6E27"/>
    <w:rsid w:val="00DE7236"/>
    <w:rsid w:val="00E10141"/>
    <w:rsid w:val="00E2376F"/>
    <w:rsid w:val="00E47443"/>
    <w:rsid w:val="00E52030"/>
    <w:rsid w:val="00E527AF"/>
    <w:rsid w:val="00EA293C"/>
    <w:rsid w:val="00EA53A9"/>
    <w:rsid w:val="00EB7C02"/>
    <w:rsid w:val="00ED3E85"/>
    <w:rsid w:val="00ED4D65"/>
    <w:rsid w:val="00F164C4"/>
    <w:rsid w:val="00F22078"/>
    <w:rsid w:val="00F32B15"/>
    <w:rsid w:val="00F56FB5"/>
    <w:rsid w:val="00F60B32"/>
    <w:rsid w:val="00FC6623"/>
    <w:rsid w:val="00FD2284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7219"/>
  <w15:docId w15:val="{886381C4-2229-4F06-9C6F-DA4CC2D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table of figures"/>
    <w:link w:val="a6"/>
    <w:pPr>
      <w:spacing w:after="0"/>
    </w:pPr>
  </w:style>
  <w:style w:type="character" w:customStyle="1" w:styleId="a6">
    <w:name w:val="Перечень рисунков Знак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List Paragraph"/>
    <w:link w:val="ae"/>
    <w:pPr>
      <w:ind w:left="720"/>
      <w:contextualSpacing/>
    </w:pPr>
  </w:style>
  <w:style w:type="character" w:customStyle="1" w:styleId="ae">
    <w:name w:val="Абзац списка Знак"/>
    <w:link w:val="ad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27">
    <w:name w:val="Quote"/>
    <w:link w:val="28"/>
    <w:pPr>
      <w:ind w:left="720" w:right="720"/>
    </w:pPr>
    <w:rPr>
      <w:i/>
    </w:rPr>
  </w:style>
  <w:style w:type="character" w:customStyle="1" w:styleId="28">
    <w:name w:val="Цитата 2 Знак"/>
    <w:link w:val="27"/>
    <w:rPr>
      <w:i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">
    <w:name w:val="caption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link w:val="af"/>
    <w:rPr>
      <w:b/>
      <w:color w:val="5B9BD5" w:themeColor="accent1"/>
      <w:sz w:val="18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Intense Quote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link w:val="af3"/>
    <w:rPr>
      <w:i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5"/>
    <w:rPr>
      <w:color w:val="0000FF"/>
      <w:u w:val="single"/>
    </w:rPr>
  </w:style>
  <w:style w:type="character" w:styleId="af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21"/>
    <w:link w:val="1e"/>
    <w:rPr>
      <w:vertAlign w:val="superscript"/>
    </w:rPr>
  </w:style>
  <w:style w:type="character" w:customStyle="1" w:styleId="1e">
    <w:name w:val="Знак сноски1"/>
    <w:basedOn w:val="22"/>
    <w:link w:val="1d"/>
    <w:rPr>
      <w:vertAlign w:val="superscript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Знак концевой сноски1"/>
    <w:basedOn w:val="21"/>
    <w:link w:val="1f0"/>
    <w:rPr>
      <w:vertAlign w:val="superscript"/>
    </w:rPr>
  </w:style>
  <w:style w:type="character" w:customStyle="1" w:styleId="1f0">
    <w:name w:val="Знак концевой сноски1"/>
    <w:basedOn w:val="22"/>
    <w:link w:val="1f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paragraph" w:styleId="aff">
    <w:name w:val="Normal (Web)"/>
    <w:basedOn w:val="a"/>
    <w:uiPriority w:val="99"/>
    <w:unhideWhenUsed/>
    <w:rsid w:val="004466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f0">
    <w:name w:val="footnote text"/>
    <w:link w:val="aff1"/>
    <w:uiPriority w:val="99"/>
    <w:unhideWhenUsed/>
    <w:rsid w:val="00FD2284"/>
    <w:pPr>
      <w:spacing w:after="40" w:line="240" w:lineRule="auto"/>
    </w:pPr>
    <w:rPr>
      <w:sz w:val="18"/>
    </w:rPr>
  </w:style>
  <w:style w:type="character" w:customStyle="1" w:styleId="aff1">
    <w:name w:val="Текст сноски Знак"/>
    <w:basedOn w:val="a0"/>
    <w:link w:val="aff0"/>
    <w:uiPriority w:val="99"/>
    <w:rsid w:val="00FD2284"/>
    <w:rPr>
      <w:sz w:val="18"/>
    </w:rPr>
  </w:style>
  <w:style w:type="character" w:styleId="aff2">
    <w:name w:val="footnote reference"/>
    <w:basedOn w:val="a0"/>
    <w:uiPriority w:val="99"/>
    <w:unhideWhenUsed/>
    <w:rsid w:val="00FD22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 Инна Юрьевна</cp:lastModifiedBy>
  <cp:revision>103</cp:revision>
  <cp:lastPrinted>2024-06-26T03:58:00Z</cp:lastPrinted>
  <dcterms:created xsi:type="dcterms:W3CDTF">2024-01-17T21:52:00Z</dcterms:created>
  <dcterms:modified xsi:type="dcterms:W3CDTF">2024-06-26T03:59:00Z</dcterms:modified>
</cp:coreProperties>
</file>