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Рекомендации</w:t>
      </w:r>
    </w:p>
    <w:p w14:paraId="02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публичных слушаний по рассмотрению </w:t>
      </w:r>
      <w:r>
        <w:rPr>
          <w:rFonts w:ascii="Times New Roman" w:hAnsi="Times New Roman"/>
          <w:b w:val="1"/>
          <w:sz w:val="28"/>
        </w:rPr>
        <w:t xml:space="preserve">отчета </w:t>
      </w:r>
    </w:p>
    <w:p w14:paraId="03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исполнении краевого бюджета за 2023 год</w:t>
      </w:r>
    </w:p>
    <w:p w14:paraId="04000000">
      <w:pPr>
        <w:spacing w:after="0" w:line="276" w:lineRule="auto"/>
        <w:ind/>
        <w:jc w:val="both"/>
        <w:rPr>
          <w:rFonts w:ascii="Times New Roman" w:hAnsi="Times New Roman"/>
          <w:b w:val="1"/>
          <w:sz w:val="26"/>
        </w:rPr>
      </w:pPr>
    </w:p>
    <w:p w14:paraId="05000000">
      <w:pPr>
        <w:spacing w:after="0" w:line="276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г. Петропавловск-Камчатский                     </w:t>
      </w:r>
      <w:r>
        <w:rPr>
          <w:rFonts w:ascii="Times New Roman" w:hAnsi="Times New Roman"/>
          <w:sz w:val="26"/>
        </w:rPr>
        <w:t xml:space="preserve">              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июня 202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год</w:t>
      </w:r>
      <w:r>
        <w:rPr>
          <w:rFonts w:ascii="Times New Roman" w:hAnsi="Times New Roman"/>
          <w:sz w:val="26"/>
        </w:rPr>
        <w:t>а</w:t>
      </w:r>
    </w:p>
    <w:p w14:paraId="06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p w14:paraId="07000000">
      <w:pPr>
        <w:spacing w:after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Рассмотрев </w:t>
      </w:r>
      <w:r>
        <w:rPr>
          <w:rFonts w:ascii="Times New Roman" w:hAnsi="Times New Roman"/>
          <w:sz w:val="28"/>
        </w:rPr>
        <w:t>отчет об исполнении краевого бюджета за 2023 год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участники публичных слушаний приняли решение рекомендовать: </w:t>
      </w:r>
    </w:p>
    <w:p w14:paraId="08000000">
      <w:pPr>
        <w:spacing w:after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1. </w:t>
      </w:r>
      <w:r>
        <w:rPr>
          <w:rFonts w:ascii="Times New Roman" w:hAnsi="Times New Roman"/>
          <w:b w:val="1"/>
          <w:sz w:val="28"/>
        </w:rPr>
        <w:t>Законодател</w:t>
      </w:r>
      <w:r>
        <w:rPr>
          <w:rFonts w:ascii="Times New Roman" w:hAnsi="Times New Roman"/>
          <w:b w:val="1"/>
          <w:sz w:val="28"/>
        </w:rPr>
        <w:t>ьному Собранию Камчатского края</w:t>
      </w:r>
    </w:p>
    <w:p w14:paraId="0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ринять закон Камчатского</w:t>
      </w:r>
      <w:r>
        <w:rPr>
          <w:rFonts w:ascii="Times New Roman" w:hAnsi="Times New Roman"/>
          <w:sz w:val="28"/>
        </w:rPr>
        <w:t xml:space="preserve"> края «О</w:t>
      </w:r>
      <w:r>
        <w:rPr>
          <w:rFonts w:ascii="Times New Roman" w:hAnsi="Times New Roman"/>
          <w:sz w:val="28"/>
        </w:rPr>
        <w:t xml:space="preserve">б исполнении краевого бюджета за 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Правительству Камчатского края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ровести всестороннюю работу, направленную на разрешение ситуации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обеспечению расходных обязательств по направлениям топливно-энергетического комплекса, транспорта, жилищно-коммунального хозяйства в </w:t>
      </w:r>
      <w:r>
        <w:rPr>
          <w:rFonts w:ascii="Times New Roman" w:hAnsi="Times New Roman"/>
          <w:sz w:val="28"/>
        </w:rPr>
        <w:t>объемах, необходимых для полноценной работы данных отра</w:t>
      </w:r>
      <w:r>
        <w:rPr>
          <w:rFonts w:ascii="Times New Roman" w:hAnsi="Times New Roman"/>
          <w:sz w:val="28"/>
        </w:rPr>
        <w:t>слей экономики.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Рассмотреть возможность</w:t>
      </w:r>
      <w:r>
        <w:rPr>
          <w:rFonts w:ascii="Times New Roman" w:hAnsi="Times New Roman"/>
          <w:sz w:val="28"/>
        </w:rPr>
        <w:t>: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Style w:val="Style_1_ch"/>
          <w:sz w:val="28"/>
        </w:rPr>
        <w:t xml:space="preserve">реализации мероприятий по оснащению </w:t>
      </w:r>
      <w:r>
        <w:rPr>
          <w:rFonts w:ascii="Times New Roman" w:hAnsi="Times New Roman"/>
          <w:sz w:val="28"/>
        </w:rPr>
        <w:t xml:space="preserve">дошкольных образовательных организаций и общеобразовательных организаций </w:t>
      </w:r>
      <w:r>
        <w:rPr>
          <w:rFonts w:ascii="Times New Roman" w:hAnsi="Times New Roman"/>
          <w:sz w:val="28"/>
        </w:rPr>
        <w:t xml:space="preserve">Камчатского края </w:t>
      </w:r>
      <w:r>
        <w:rPr>
          <w:rStyle w:val="Style_1_ch"/>
          <w:sz w:val="28"/>
        </w:rPr>
        <w:t>локальными системами отоплениями для обеспечения комфортного пребывания в них в межотопитель</w:t>
      </w:r>
      <w:r>
        <w:rPr>
          <w:rStyle w:val="Style_1_ch"/>
          <w:sz w:val="28"/>
        </w:rPr>
        <w:t>ный период;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увеличения</w:t>
      </w:r>
      <w:r>
        <w:rPr>
          <w:rFonts w:ascii="Times New Roman" w:hAnsi="Times New Roman"/>
          <w:sz w:val="28"/>
        </w:rPr>
        <w:t xml:space="preserve"> финансирования при </w:t>
      </w:r>
      <w:r>
        <w:rPr>
          <w:rFonts w:ascii="Times New Roman" w:hAnsi="Times New Roman"/>
          <w:sz w:val="28"/>
        </w:rPr>
        <w:t xml:space="preserve">формировании </w:t>
      </w:r>
      <w:r>
        <w:rPr>
          <w:rFonts w:ascii="Times New Roman" w:hAnsi="Times New Roman"/>
          <w:sz w:val="28"/>
        </w:rPr>
        <w:t xml:space="preserve">краевого </w:t>
      </w:r>
      <w:r>
        <w:rPr>
          <w:rFonts w:ascii="Times New Roman" w:hAnsi="Times New Roman"/>
          <w:sz w:val="28"/>
        </w:rPr>
        <w:t xml:space="preserve">бюджета на следующий календарный год по разделам </w:t>
      </w:r>
      <w:r>
        <w:rPr>
          <w:rFonts w:ascii="Times New Roman" w:hAnsi="Times New Roman"/>
          <w:sz w:val="28"/>
        </w:rPr>
        <w:t xml:space="preserve">«Культура, кинематография»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«Физическая культура и спорт</w:t>
      </w:r>
      <w:r>
        <w:rPr>
          <w:rFonts w:ascii="Times New Roman" w:hAnsi="Times New Roman"/>
          <w:sz w:val="28"/>
        </w:rPr>
        <w:t>»;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отражения в отчете об исполнении краевого бюджета мероприятий, реализуемых в рамках исполнения наказов избирателей депутатам </w:t>
      </w:r>
      <w:r>
        <w:rPr>
          <w:rFonts w:ascii="Times New Roman" w:hAnsi="Times New Roman"/>
          <w:sz w:val="28"/>
        </w:rPr>
        <w:t>Законодател</w:t>
      </w:r>
      <w:r>
        <w:rPr>
          <w:rFonts w:ascii="Times New Roman" w:hAnsi="Times New Roman"/>
          <w:sz w:val="28"/>
        </w:rPr>
        <w:t>ьного Собрания Камчатского края;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финансирования обустройства парковки и проезда к ГБУЗ «Камчатская краевая стоматологическа</w:t>
      </w:r>
      <w:r>
        <w:rPr>
          <w:rFonts w:ascii="Times New Roman" w:hAnsi="Times New Roman"/>
          <w:sz w:val="28"/>
        </w:rPr>
        <w:t>я поликлиника» по ул. Корякская;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обеспечения льготного проезда для студентов высших и средних </w:t>
      </w:r>
      <w:r>
        <w:rPr>
          <w:rFonts w:ascii="Times New Roman" w:hAnsi="Times New Roman"/>
          <w:sz w:val="28"/>
        </w:rPr>
        <w:t>образовательных учреждений</w:t>
      </w:r>
      <w:r>
        <w:rPr>
          <w:rFonts w:ascii="Times New Roman" w:hAnsi="Times New Roman"/>
          <w:sz w:val="28"/>
        </w:rPr>
        <w:t xml:space="preserve"> по территории Камчатского края на межмуниципальных маршрутах</w:t>
      </w:r>
      <w:r>
        <w:rPr>
          <w:rFonts w:ascii="Times New Roman" w:hAnsi="Times New Roman"/>
          <w:sz w:val="28"/>
        </w:rPr>
        <w:t>;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повышения оплаты труда в дошкольных образовательных учреждениях, учреждениях дополнительного образования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 также </w:t>
      </w:r>
      <w:r>
        <w:rPr>
          <w:rFonts w:ascii="Times New Roman" w:hAnsi="Times New Roman"/>
          <w:sz w:val="28"/>
        </w:rPr>
        <w:t>учреждениях культуры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целью выравнивания заработной платы педагогических работников и специалистов вспомогательн</w:t>
      </w:r>
      <w:r>
        <w:rPr>
          <w:rFonts w:ascii="Times New Roman" w:hAnsi="Times New Roman"/>
          <w:sz w:val="28"/>
        </w:rPr>
        <w:t>ого и обслуживающего персонала.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редусмотреть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дополнительные меры по повышению привлекательности Камчатского края для специалистов из других регионов, в том числе в</w:t>
      </w:r>
      <w:r>
        <w:rPr>
          <w:rFonts w:ascii="Times New Roman" w:hAnsi="Times New Roman"/>
          <w:sz w:val="28"/>
        </w:rPr>
        <w:t xml:space="preserve">ыплаты из средств краевого бюджета суммы первоначального взноса для оформления ипотечного </w:t>
      </w:r>
      <w:r>
        <w:rPr>
          <w:rFonts w:ascii="Times New Roman" w:hAnsi="Times New Roman"/>
          <w:sz w:val="28"/>
        </w:rPr>
        <w:t>кредита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для стимулирования работников в п</w:t>
      </w:r>
      <w:r>
        <w:rPr>
          <w:rFonts w:ascii="Times New Roman" w:hAnsi="Times New Roman"/>
          <w:sz w:val="28"/>
        </w:rPr>
        <w:t xml:space="preserve">риобретении собственного жилья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целях снижения кадрового дефицита учит</w:t>
      </w:r>
      <w:r>
        <w:rPr>
          <w:rFonts w:ascii="Times New Roman" w:hAnsi="Times New Roman"/>
          <w:sz w:val="28"/>
        </w:rPr>
        <w:t>елей и врачей в Камчатском крае;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межбюджетны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трансферты </w:t>
      </w:r>
      <w:r>
        <w:rPr>
          <w:rFonts w:ascii="Times New Roman" w:hAnsi="Times New Roman"/>
          <w:sz w:val="28"/>
        </w:rPr>
        <w:t>бюджет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Петропавловск-Камчатского городского округа на 2024 год на капитальный ремонт и ремонт автомобильных дорог общего пользования населенных пунктов Камчатского края от ул. Тельмана по ул. Дзержинского до МБОУ «Лицей № 21» (согласно скорректированной проектно-сметной документации);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ассигнования</w:t>
      </w:r>
      <w:r>
        <w:rPr>
          <w:rFonts w:ascii="Times New Roman" w:hAnsi="Times New Roman"/>
          <w:sz w:val="28"/>
        </w:rPr>
        <w:t xml:space="preserve"> Министерству культуры Камчатского края для ремонта аварийной кровли КГБУ «Камчатская краевая научная библиотека им. С.П. Крашенинникова»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согласно скорректированной проектно-сметной докум</w:t>
      </w:r>
      <w:r>
        <w:rPr>
          <w:rFonts w:ascii="Times New Roman" w:hAnsi="Times New Roman"/>
          <w:sz w:val="28"/>
        </w:rPr>
        <w:t>ентации</w:t>
      </w:r>
      <w:r>
        <w:rPr>
          <w:rFonts w:ascii="Times New Roman" w:hAnsi="Times New Roman"/>
          <w:sz w:val="28"/>
        </w:rPr>
        <w:t>)</w:t>
      </w:r>
      <w:bookmarkStart w:id="1" w:name="_GoBack"/>
      <w:bookmarkEnd w:id="1"/>
      <w:r>
        <w:rPr>
          <w:rFonts w:ascii="Times New Roman" w:hAnsi="Times New Roman"/>
          <w:sz w:val="28"/>
        </w:rPr>
        <w:t>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- ассигнования </w:t>
      </w:r>
      <w:r>
        <w:rPr>
          <w:rFonts w:ascii="Times New Roman" w:hAnsi="Times New Roman"/>
          <w:sz w:val="28"/>
        </w:rPr>
        <w:t>для реализации м</w:t>
      </w:r>
      <w:r>
        <w:rPr>
          <w:rFonts w:ascii="Times New Roman" w:hAnsi="Times New Roman"/>
          <w:color w:val="000000"/>
          <w:sz w:val="28"/>
        </w:rPr>
        <w:t>ероприятий по улучшению архитектурного облика и праздничному оформлению м</w:t>
      </w:r>
      <w:r>
        <w:rPr>
          <w:rFonts w:ascii="Times New Roman" w:hAnsi="Times New Roman"/>
          <w:sz w:val="28"/>
        </w:rPr>
        <w:t>емориальных комплексов, памятников и других объектов, посвященных памяти о подвигах воинов и тружеников тыла в период Великой Отечественной войны 1941-1945 г</w:t>
      </w:r>
      <w:r>
        <w:rPr>
          <w:rFonts w:ascii="Times New Roman" w:hAnsi="Times New Roman"/>
          <w:sz w:val="28"/>
        </w:rPr>
        <w:t>одов;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дополнительные ассигнования Министерству спорта Камчатского края для организации участия камчатских спортсменов в соревнованиях за пределами Камчатского</w:t>
      </w:r>
      <w:r>
        <w:rPr>
          <w:rFonts w:ascii="Times New Roman" w:hAnsi="Times New Roman"/>
          <w:sz w:val="28"/>
        </w:rPr>
        <w:t xml:space="preserve"> края;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строительство системы холодного водоснабжения в с. Ильпырское Карагинского муниципального района.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3. </w:t>
      </w:r>
      <w:r>
        <w:rPr>
          <w:rFonts w:ascii="Times New Roman" w:hAnsi="Times New Roman"/>
          <w:b w:val="1"/>
          <w:color w:val="000000"/>
          <w:sz w:val="28"/>
        </w:rPr>
        <w:t>Министерству природных ресурсов и экологии Камчатского края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</w:t>
      </w:r>
      <w:r>
        <w:rPr>
          <w:rFonts w:ascii="Times New Roman" w:hAnsi="Times New Roman"/>
          <w:color w:val="000000"/>
          <w:sz w:val="28"/>
        </w:rPr>
        <w:t>босновать необходимый объем финансирования на проведение работ по исследованию и определению допустимой антропогенной нагрузки на</w:t>
      </w:r>
      <w:r>
        <w:rPr>
          <w:rFonts w:ascii="Times New Roman" w:hAnsi="Times New Roman"/>
          <w:sz w:val="28"/>
        </w:rPr>
        <w:t xml:space="preserve"> особо охраняемые природные территории</w:t>
      </w:r>
      <w:r>
        <w:rPr>
          <w:rFonts w:ascii="Times New Roman" w:hAnsi="Times New Roman"/>
          <w:sz w:val="28"/>
        </w:rPr>
        <w:t xml:space="preserve"> (ООПТ)</w:t>
      </w:r>
      <w:r>
        <w:rPr>
          <w:rFonts w:ascii="Times New Roman" w:hAnsi="Times New Roman"/>
          <w:color w:val="000000"/>
          <w:sz w:val="28"/>
        </w:rPr>
        <w:t xml:space="preserve"> регионального значения с целью разработки комплексных планов развития ООПТ регионального значения и привлечению средств на создание инфраструктуры </w:t>
      </w:r>
      <w:r>
        <w:rPr>
          <w:rFonts w:ascii="Times New Roman" w:hAnsi="Times New Roman"/>
          <w:color w:val="000000"/>
          <w:sz w:val="28"/>
        </w:rPr>
        <w:t>в рамках национального проекта «Экологическая безопасность»</w:t>
      </w:r>
      <w:r>
        <w:rPr>
          <w:rFonts w:ascii="Times New Roman" w:hAnsi="Times New Roman"/>
          <w:color w:val="000000"/>
          <w:sz w:val="28"/>
        </w:rPr>
        <w:t>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4. Главам поселений, входящих в состав Корякского округа Камчатского края</w:t>
      </w:r>
    </w:p>
    <w:p w14:paraId="2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Рекомендовать принять участие в региональной адресной программе «Переселение граждан из аварийного жилищного фонда на территории Камчатского края». 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276" w:footer="708" w:gutter="0" w:header="708" w:left="1418" w:right="991" w:top="127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Default"/>
    <w:link w:val="Style_6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6_ch" w:type="character">
    <w:name w:val="Default"/>
    <w:link w:val="Style_6"/>
    <w:rPr>
      <w:rFonts w:ascii="Times New Roman" w:hAnsi="Times New Roman"/>
      <w:color w:val="000000"/>
      <w:sz w:val="24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Font Style14"/>
    <w:basedOn w:val="Style_10"/>
    <w:link w:val="Style_1_ch"/>
    <w:rPr>
      <w:rFonts w:ascii="Times New Roman" w:hAnsi="Times New Roman"/>
      <w:sz w:val="26"/>
    </w:rPr>
  </w:style>
  <w:style w:styleId="Style_1_ch" w:type="character">
    <w:name w:val="Font Style14"/>
    <w:basedOn w:val="Style_10_ch"/>
    <w:link w:val="Style_1"/>
    <w:rPr>
      <w:rFonts w:ascii="Times New Roman" w:hAnsi="Times New Roman"/>
      <w:sz w:val="26"/>
    </w:rPr>
  </w:style>
  <w:style w:styleId="Style_11" w:type="paragraph">
    <w:name w:val="List Paragraph"/>
    <w:basedOn w:val="Style_2"/>
    <w:link w:val="Style_11_ch"/>
    <w:pPr>
      <w:ind w:firstLine="0" w:left="720"/>
      <w:contextualSpacing w:val="1"/>
    </w:pPr>
  </w:style>
  <w:style w:styleId="Style_11_ch" w:type="character">
    <w:name w:val="List Paragraph"/>
    <w:basedOn w:val="Style_2_ch"/>
    <w:link w:val="Style_11"/>
  </w:style>
  <w:style w:styleId="Style_12" w:type="paragraph">
    <w:name w:val="docdata"/>
    <w:basedOn w:val="Style_2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docdata"/>
    <w:basedOn w:val="Style_2_ch"/>
    <w:link w:val="Style_12"/>
    <w:rPr>
      <w:rFonts w:ascii="Times New Roman" w:hAnsi="Times New Roman"/>
      <w:sz w:val="24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Plain Text"/>
    <w:basedOn w:val="Style_2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Plain Text"/>
    <w:basedOn w:val="Style_2_ch"/>
    <w:link w:val="Style_16"/>
    <w:rPr>
      <w:rFonts w:ascii="Calibri" w:hAnsi="Calibri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footer"/>
    <w:basedOn w:val="Style_2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footer"/>
    <w:basedOn w:val="Style_2_ch"/>
    <w:link w:val="Style_23"/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2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2_ch"/>
    <w:link w:val="Style_25"/>
    <w:rPr>
      <w:rFonts w:ascii="Segoe UI" w:hAnsi="Segoe UI"/>
      <w:sz w:val="18"/>
    </w:rPr>
  </w:style>
  <w:style w:styleId="Style_26" w:type="paragraph">
    <w:name w:val="header"/>
    <w:basedOn w:val="Style_2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header"/>
    <w:basedOn w:val="Style_2_ch"/>
    <w:link w:val="Style_26"/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2024-07-11T21:57:09Z</dcterms:modified>
</cp:coreProperties>
</file>