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79" w:rsidRDefault="00FC0E2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7979" w:rsidRDefault="00C07979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C07979" w:rsidRDefault="00C0797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07979" w:rsidRDefault="00C0797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C07979" w:rsidRDefault="00FC0E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C07979" w:rsidRDefault="00FC0E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C07979" w:rsidRPr="00691888" w:rsidRDefault="00C07979">
      <w:pPr>
        <w:spacing w:after="0" w:line="240" w:lineRule="auto"/>
        <w:jc w:val="center"/>
        <w:rPr>
          <w:rFonts w:ascii="Times New Roman" w:hAnsi="Times New Roman"/>
          <w:szCs w:val="22"/>
        </w:rPr>
      </w:pPr>
    </w:p>
    <w:p w:rsidR="00C07979" w:rsidRDefault="00FC0E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C07979" w:rsidRPr="00691888" w:rsidRDefault="00C07979">
      <w:pPr>
        <w:spacing w:after="0" w:line="240" w:lineRule="auto"/>
        <w:jc w:val="center"/>
        <w:rPr>
          <w:rFonts w:ascii="Times New Roman" w:hAnsi="Times New Roman"/>
          <w:szCs w:val="22"/>
        </w:rPr>
      </w:pPr>
    </w:p>
    <w:p w:rsidR="00C07979" w:rsidRPr="00691888" w:rsidRDefault="00C079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C07979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C07979" w:rsidRDefault="00FC0E28" w:rsidP="00DB05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№ [Номер</w:t>
            </w:r>
            <w:bookmarkEnd w:id="0"/>
          </w:p>
        </w:tc>
      </w:tr>
      <w:tr w:rsidR="00C07979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7979" w:rsidRDefault="00FC0E2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C07979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07979" w:rsidRDefault="00C079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691888" w:rsidRDefault="00691888" w:rsidP="006918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131BD" w:rsidRDefault="00B131BD" w:rsidP="0069188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0"/>
        <w:tblW w:w="9214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07979" w:rsidTr="00B131B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07979" w:rsidRDefault="00DB05AD" w:rsidP="00312D3B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B05AD">
              <w:rPr>
                <w:rFonts w:ascii="Times New Roman" w:hAnsi="Times New Roman"/>
                <w:b/>
                <w:sz w:val="28"/>
              </w:rPr>
              <w:t>О внесении изменений в приказ Министерства финансов Камчатского края от 29.11.2019 № 282 «Об утверждении Порядка завершения операций по исполнению краевого бюджета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года»</w:t>
            </w:r>
          </w:p>
        </w:tc>
      </w:tr>
    </w:tbl>
    <w:p w:rsidR="00691888" w:rsidRDefault="00691888" w:rsidP="003D04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131BD" w:rsidRDefault="00B131BD" w:rsidP="003D04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07979" w:rsidRDefault="00FC0E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C07979" w:rsidRDefault="00C079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12D3B" w:rsidRDefault="009E24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12D3B">
        <w:rPr>
          <w:rFonts w:ascii="Times New Roman" w:hAnsi="Times New Roman"/>
          <w:sz w:val="28"/>
        </w:rPr>
        <w:t>Внести в приказ</w:t>
      </w:r>
      <w:r w:rsidR="00312D3B" w:rsidRPr="00312D3B">
        <w:rPr>
          <w:rFonts w:ascii="Times New Roman" w:hAnsi="Times New Roman"/>
          <w:sz w:val="28"/>
        </w:rPr>
        <w:t xml:space="preserve"> Министерства финансов Камчатского края от 29.11.2019 № 282 «Об утверждении Порядка завершения операций по исполнению краевого бюджета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года» следующие изменения:</w:t>
      </w:r>
    </w:p>
    <w:p w:rsidR="00312D3B" w:rsidRDefault="00312D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:rsidR="00312D3B" w:rsidRDefault="00312D3B" w:rsidP="00312D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312D3B">
        <w:rPr>
          <w:rFonts w:ascii="Times New Roman" w:hAnsi="Times New Roman"/>
          <w:b/>
          <w:sz w:val="28"/>
        </w:rPr>
        <w:t xml:space="preserve">Об утверждении Порядка завершения операций по исполнению краевого бюджета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</w:t>
      </w:r>
    </w:p>
    <w:p w:rsidR="00312D3B" w:rsidRPr="00813FA3" w:rsidRDefault="00312D3B" w:rsidP="00312D3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312D3B">
        <w:rPr>
          <w:rFonts w:ascii="Times New Roman" w:hAnsi="Times New Roman"/>
          <w:b/>
          <w:sz w:val="28"/>
        </w:rPr>
        <w:t>в январе очередного финансового года</w:t>
      </w:r>
      <w:r>
        <w:rPr>
          <w:rFonts w:ascii="Times New Roman" w:hAnsi="Times New Roman"/>
          <w:b/>
          <w:sz w:val="28"/>
        </w:rPr>
        <w:t>»</w:t>
      </w:r>
      <w:r w:rsidR="00813FA3">
        <w:rPr>
          <w:rFonts w:ascii="Times New Roman" w:hAnsi="Times New Roman"/>
          <w:sz w:val="28"/>
        </w:rPr>
        <w:t>;</w:t>
      </w:r>
    </w:p>
    <w:p w:rsidR="000F4AD4" w:rsidRDefault="00312D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FD19E4" w:rsidRPr="00FD19E4">
        <w:rPr>
          <w:rFonts w:ascii="Times New Roman" w:hAnsi="Times New Roman"/>
          <w:sz w:val="28"/>
        </w:rPr>
        <w:t xml:space="preserve">приложение к приказу изложить в редакции согласно </w:t>
      </w:r>
      <w:proofErr w:type="gramStart"/>
      <w:r w:rsidR="00FD19E4">
        <w:rPr>
          <w:rFonts w:ascii="Times New Roman" w:hAnsi="Times New Roman"/>
          <w:sz w:val="28"/>
        </w:rPr>
        <w:t>приложению</w:t>
      </w:r>
      <w:proofErr w:type="gramEnd"/>
      <w:r w:rsidR="00FD19E4">
        <w:rPr>
          <w:rFonts w:ascii="Times New Roman" w:hAnsi="Times New Roman"/>
          <w:sz w:val="28"/>
        </w:rPr>
        <w:t xml:space="preserve"> к настоящему приказу.</w:t>
      </w:r>
    </w:p>
    <w:p w:rsidR="00DB05AD" w:rsidRDefault="00BC6B8D" w:rsidP="00DB05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Настоящий приказ вступает в силу после дня его официального опубликования.</w:t>
      </w:r>
    </w:p>
    <w:p w:rsidR="00691888" w:rsidRPr="00446FE2" w:rsidRDefault="00691888" w:rsidP="003D0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D74" w:rsidRDefault="008B7D74" w:rsidP="003D0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0B9" w:rsidRPr="00446FE2" w:rsidRDefault="00FE30B9" w:rsidP="003D0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4380"/>
        <w:gridCol w:w="2499"/>
      </w:tblGrid>
      <w:tr w:rsidR="00C07979" w:rsidTr="008B7D74">
        <w:trPr>
          <w:trHeight w:val="896"/>
        </w:trPr>
        <w:tc>
          <w:tcPr>
            <w:tcW w:w="2967" w:type="dxa"/>
            <w:shd w:val="clear" w:color="auto" w:fill="auto"/>
            <w:tcMar>
              <w:left w:w="0" w:type="dxa"/>
              <w:right w:w="0" w:type="dxa"/>
            </w:tcMar>
          </w:tcPr>
          <w:p w:rsidR="00C07979" w:rsidRDefault="00FC0E28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C07979" w:rsidRDefault="00C07979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80" w:type="dxa"/>
            <w:shd w:val="clear" w:color="auto" w:fill="auto"/>
            <w:tcMar>
              <w:left w:w="0" w:type="dxa"/>
              <w:right w:w="0" w:type="dxa"/>
            </w:tcMar>
          </w:tcPr>
          <w:p w:rsidR="00C07979" w:rsidRDefault="00FC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499" w:type="dxa"/>
            <w:shd w:val="clear" w:color="auto" w:fill="auto"/>
            <w:tcMar>
              <w:left w:w="0" w:type="dxa"/>
              <w:right w:w="0" w:type="dxa"/>
            </w:tcMar>
          </w:tcPr>
          <w:p w:rsidR="00C07979" w:rsidRDefault="00FC0E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</w:rPr>
              <w:t>Бутылин</w:t>
            </w:r>
            <w:proofErr w:type="spellEnd"/>
          </w:p>
        </w:tc>
      </w:tr>
    </w:tbl>
    <w:p w:rsidR="00C07979" w:rsidRDefault="00C07979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FD19E4" w:rsidRDefault="00FD19E4" w:rsidP="008B7D74"/>
    <w:p w:rsidR="00E10FB2" w:rsidRDefault="00E10FB2" w:rsidP="00E10FB2">
      <w:pPr>
        <w:spacing w:after="0" w:line="240" w:lineRule="auto"/>
        <w:ind w:left="4252"/>
      </w:pPr>
      <w:r>
        <w:rPr>
          <w:rFonts w:ascii="Times New Roman" w:hAnsi="Times New Roman"/>
          <w:sz w:val="28"/>
        </w:rPr>
        <w:lastRenderedPageBreak/>
        <w:t xml:space="preserve">Приложение к приказу </w:t>
      </w:r>
    </w:p>
    <w:p w:rsidR="00E10FB2" w:rsidRDefault="00E10FB2" w:rsidP="00E10FB2">
      <w:pPr>
        <w:spacing w:after="0" w:line="240" w:lineRule="auto"/>
        <w:ind w:left="4252"/>
      </w:pPr>
      <w:r>
        <w:rPr>
          <w:rFonts w:ascii="Times New Roman" w:hAnsi="Times New Roman"/>
          <w:sz w:val="28"/>
        </w:rPr>
        <w:t>Министерства финансов Камчатского края</w:t>
      </w:r>
    </w:p>
    <w:tbl>
      <w:tblPr>
        <w:tblStyle w:val="af0"/>
        <w:tblW w:w="0" w:type="auto"/>
        <w:tblInd w:w="42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69"/>
        <w:gridCol w:w="486"/>
        <w:gridCol w:w="1701"/>
      </w:tblGrid>
      <w:tr w:rsidR="00E10FB2" w:rsidTr="00B2728A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10FB2" w:rsidRDefault="00E10FB2" w:rsidP="00B2728A">
            <w:pPr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10FB2" w:rsidRDefault="00E10FB2" w:rsidP="00B2728A">
            <w:pPr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10FB2" w:rsidRDefault="00E10FB2" w:rsidP="00B2728A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FB2" w:rsidRDefault="00E10FB2" w:rsidP="00B2728A">
            <w:pPr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10FB2" w:rsidRDefault="00E10FB2" w:rsidP="00E10FB2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«Приложение к приказу</w:t>
      </w:r>
    </w:p>
    <w:p w:rsidR="00E10FB2" w:rsidRDefault="00E10FB2" w:rsidP="00E10FB2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Министерства финансов Камчатского края</w:t>
      </w:r>
    </w:p>
    <w:tbl>
      <w:tblPr>
        <w:tblW w:w="0" w:type="auto"/>
        <w:tblInd w:w="42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706"/>
      </w:tblGrid>
      <w:tr w:rsidR="00E10FB2" w:rsidTr="00B2728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B2" w:rsidRDefault="00E10FB2" w:rsidP="00B2728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29.11</w:t>
            </w:r>
            <w:r>
              <w:rPr>
                <w:rFonts w:ascii="Times New Roman" w:hAnsi="Times New Roman"/>
                <w:sz w:val="28"/>
              </w:rPr>
              <w:t>.2019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B2" w:rsidRDefault="00E10FB2" w:rsidP="00E10F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2</w:t>
            </w: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B2" w:rsidRDefault="00E10FB2" w:rsidP="00B2728A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10FB2" w:rsidRDefault="00E10FB2" w:rsidP="00FD19E4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E10FB2" w:rsidRDefault="00E10FB2" w:rsidP="00FD19E4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FD19E4" w:rsidRPr="00FB7E61" w:rsidRDefault="00FD19E4" w:rsidP="00FD19E4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FB7E61">
        <w:rPr>
          <w:rFonts w:ascii="Times New Roman" w:hAnsi="Times New Roman"/>
          <w:sz w:val="28"/>
          <w:szCs w:val="28"/>
        </w:rPr>
        <w:t>Порядок</w:t>
      </w:r>
    </w:p>
    <w:p w:rsidR="00FD19E4" w:rsidRDefault="00FD19E4" w:rsidP="00FD19E4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FB7E61">
        <w:rPr>
          <w:rFonts w:ascii="Times New Roman" w:hAnsi="Times New Roman"/>
          <w:sz w:val="28"/>
          <w:szCs w:val="28"/>
        </w:rPr>
        <w:t xml:space="preserve">завершения операций по исполнению краевого бюджета в текущем </w:t>
      </w:r>
    </w:p>
    <w:p w:rsidR="00FD19E4" w:rsidRPr="00FB7E61" w:rsidRDefault="00FD19E4" w:rsidP="00FD19E4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FB7E61">
        <w:rPr>
          <w:rFonts w:ascii="Times New Roman" w:hAnsi="Times New Roman"/>
          <w:sz w:val="28"/>
          <w:szCs w:val="28"/>
        </w:rPr>
        <w:t>финансовом</w:t>
      </w:r>
      <w:r w:rsidRPr="00FB7E61">
        <w:t xml:space="preserve"> </w:t>
      </w:r>
      <w:r w:rsidRPr="00FB7E61">
        <w:rPr>
          <w:rFonts w:ascii="Times New Roman" w:hAnsi="Times New Roman"/>
          <w:sz w:val="28"/>
          <w:szCs w:val="28"/>
        </w:rPr>
        <w:t>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</w:t>
      </w:r>
    </w:p>
    <w:p w:rsidR="00FD19E4" w:rsidRDefault="00FD19E4" w:rsidP="00FD19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19E4" w:rsidRPr="003B7516" w:rsidRDefault="00FD19E4" w:rsidP="00FD19E4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>1. В соответствии со статьей 242 Бюджетного кодекса Российской Федерации исполнение краевого бюджета завершается в части: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B7516">
        <w:rPr>
          <w:sz w:val="28"/>
          <w:szCs w:val="28"/>
        </w:rPr>
        <w:t xml:space="preserve">операций по расходам краевого бюджета и источникам финансирования дефицита краевого бюджета </w:t>
      </w:r>
      <w:r>
        <w:rPr>
          <w:sz w:val="28"/>
          <w:szCs w:val="28"/>
        </w:rPr>
        <w:t>–</w:t>
      </w:r>
      <w:r w:rsidRPr="003B7516">
        <w:rPr>
          <w:sz w:val="28"/>
          <w:szCs w:val="28"/>
        </w:rPr>
        <w:t xml:space="preserve"> в последний рабочий день текущего финансового года;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B7516">
        <w:rPr>
          <w:sz w:val="28"/>
          <w:szCs w:val="28"/>
        </w:rPr>
        <w:t xml:space="preserve">зачисления в краевой бюджет поступлений </w:t>
      </w:r>
      <w:r>
        <w:rPr>
          <w:sz w:val="28"/>
          <w:szCs w:val="28"/>
        </w:rPr>
        <w:t>отчетного</w:t>
      </w:r>
      <w:r w:rsidRPr="003B7516">
        <w:rPr>
          <w:sz w:val="28"/>
          <w:szCs w:val="28"/>
        </w:rPr>
        <w:t xml:space="preserve"> финансового года, распределенных в установленном порядке Управлением Федерального казначейства по Камчатскому краю (далее </w:t>
      </w:r>
      <w:r>
        <w:rPr>
          <w:sz w:val="28"/>
          <w:szCs w:val="28"/>
        </w:rPr>
        <w:t>–</w:t>
      </w:r>
      <w:r w:rsidRPr="003B7516">
        <w:rPr>
          <w:sz w:val="28"/>
          <w:szCs w:val="28"/>
        </w:rPr>
        <w:t xml:space="preserve"> Управление), и их отражения </w:t>
      </w:r>
      <w:r>
        <w:rPr>
          <w:sz w:val="28"/>
          <w:szCs w:val="28"/>
        </w:rPr>
        <w:t>в отчетности</w:t>
      </w:r>
      <w:r w:rsidRPr="003B7516">
        <w:rPr>
          <w:sz w:val="28"/>
          <w:szCs w:val="28"/>
        </w:rPr>
        <w:t xml:space="preserve"> об исполнении краевого бюджета </w:t>
      </w:r>
      <w:r>
        <w:rPr>
          <w:sz w:val="28"/>
          <w:szCs w:val="28"/>
        </w:rPr>
        <w:t>отчетного</w:t>
      </w:r>
      <w:r w:rsidRPr="003B7516">
        <w:rPr>
          <w:sz w:val="28"/>
          <w:szCs w:val="28"/>
        </w:rPr>
        <w:t xml:space="preserve"> финансового года</w:t>
      </w:r>
      <w:r>
        <w:rPr>
          <w:sz w:val="28"/>
          <w:szCs w:val="28"/>
        </w:rPr>
        <w:t xml:space="preserve"> </w:t>
      </w:r>
      <w:r w:rsidR="00D20FAA" w:rsidRPr="00D20FAA">
        <w:rPr>
          <w:sz w:val="28"/>
          <w:szCs w:val="28"/>
        </w:rPr>
        <w:t>–</w:t>
      </w:r>
      <w:r w:rsidR="00D20FAA">
        <w:rPr>
          <w:sz w:val="28"/>
          <w:szCs w:val="28"/>
        </w:rPr>
        <w:t xml:space="preserve"> </w:t>
      </w:r>
      <w:r w:rsidRPr="00A1707B">
        <w:rPr>
          <w:sz w:val="28"/>
          <w:szCs w:val="28"/>
        </w:rPr>
        <w:t xml:space="preserve">не позднее пятого рабочего дня </w:t>
      </w:r>
      <w:r>
        <w:rPr>
          <w:sz w:val="28"/>
          <w:szCs w:val="28"/>
        </w:rPr>
        <w:t>текущего</w:t>
      </w:r>
      <w:r w:rsidRPr="003B7516">
        <w:rPr>
          <w:sz w:val="28"/>
          <w:szCs w:val="28"/>
        </w:rPr>
        <w:t xml:space="preserve"> финансового года.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 xml:space="preserve">2. В целях завершения операций по расходам и источникам финансирования дефицита краевого бюджета Министерство финансов Камчатского края (далее </w:t>
      </w:r>
      <w:r>
        <w:rPr>
          <w:sz w:val="28"/>
          <w:szCs w:val="28"/>
        </w:rPr>
        <w:t>–</w:t>
      </w:r>
      <w:r w:rsidRPr="003B7516">
        <w:rPr>
          <w:sz w:val="28"/>
          <w:szCs w:val="28"/>
        </w:rPr>
        <w:t xml:space="preserve"> Министерство) направляет в Управление расходные расписания для доведения</w:t>
      </w:r>
      <w:r>
        <w:rPr>
          <w:sz w:val="28"/>
          <w:szCs w:val="28"/>
        </w:rPr>
        <w:t xml:space="preserve"> бюджетных ассигнований, </w:t>
      </w:r>
      <w:r w:rsidRPr="003B7516">
        <w:rPr>
          <w:sz w:val="28"/>
          <w:szCs w:val="28"/>
        </w:rPr>
        <w:t xml:space="preserve">лимитов бюджетных обязательств, предельных объемов оплаты денежных обязательств (далее </w:t>
      </w:r>
      <w:r>
        <w:rPr>
          <w:sz w:val="28"/>
          <w:szCs w:val="28"/>
        </w:rPr>
        <w:t>–</w:t>
      </w:r>
      <w:r w:rsidRPr="003B7516">
        <w:rPr>
          <w:sz w:val="28"/>
          <w:szCs w:val="28"/>
        </w:rPr>
        <w:t xml:space="preserve"> бюджетные данн</w:t>
      </w:r>
      <w:bookmarkStart w:id="2" w:name="_GoBack"/>
      <w:bookmarkEnd w:id="2"/>
      <w:r w:rsidRPr="003B7516">
        <w:rPr>
          <w:sz w:val="28"/>
          <w:szCs w:val="28"/>
        </w:rPr>
        <w:t>ые) не позднее, чем за один рабочий день до окончания текущего финансового года.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 xml:space="preserve">3. Получатели средств краевого бюджета обеспечивают в порядке, установленном Министерством, представление в Управление Сведений о бюджетных обязательствах не позднее, чем за три рабочих дня до окончания текущего финансового года, Сведений о денежных обязательствах </w:t>
      </w:r>
      <w:r>
        <w:rPr>
          <w:sz w:val="28"/>
          <w:szCs w:val="28"/>
        </w:rPr>
        <w:t>–</w:t>
      </w:r>
      <w:r w:rsidRPr="003B7516">
        <w:rPr>
          <w:sz w:val="28"/>
          <w:szCs w:val="28"/>
        </w:rPr>
        <w:t xml:space="preserve"> не позднее, чем за два рабочих дня до окончания текущего финансового года.</w:t>
      </w:r>
    </w:p>
    <w:p w:rsidR="00FD19E4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>4. Получатели средств краевого бюджета (администраторы источников финансирования дефицита краевого бюджета) обеспечивают представление в Управление платежных документов для осуществления перечислений и иных документов, необходимых для подтверждения в установленном порядке принятых ими денежных обязательств</w:t>
      </w:r>
      <w:r>
        <w:rPr>
          <w:sz w:val="28"/>
          <w:szCs w:val="28"/>
        </w:rPr>
        <w:t>:</w:t>
      </w:r>
    </w:p>
    <w:p w:rsidR="00FD19E4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B7516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краевого бюджета –</w:t>
      </w:r>
      <w:r w:rsidRPr="003B7516">
        <w:rPr>
          <w:sz w:val="28"/>
          <w:szCs w:val="28"/>
        </w:rPr>
        <w:t xml:space="preserve"> до 16</w:t>
      </w:r>
      <w:r>
        <w:rPr>
          <w:sz w:val="28"/>
          <w:szCs w:val="28"/>
        </w:rPr>
        <w:t xml:space="preserve"> </w:t>
      </w:r>
      <w:r w:rsidRPr="003B7516">
        <w:rPr>
          <w:sz w:val="28"/>
          <w:szCs w:val="28"/>
        </w:rPr>
        <w:t>часов предпоследнего рабочего дня текущего финансового года</w:t>
      </w:r>
      <w:r>
        <w:rPr>
          <w:sz w:val="28"/>
          <w:szCs w:val="28"/>
        </w:rPr>
        <w:t xml:space="preserve">; </w:t>
      </w:r>
    </w:p>
    <w:p w:rsidR="00FD19E4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B7516">
        <w:rPr>
          <w:sz w:val="28"/>
          <w:szCs w:val="28"/>
        </w:rPr>
        <w:t>за счет средств федерального бюджета</w:t>
      </w:r>
      <w:r>
        <w:rPr>
          <w:sz w:val="28"/>
          <w:szCs w:val="28"/>
        </w:rPr>
        <w:t xml:space="preserve"> </w:t>
      </w:r>
      <w:r w:rsidRPr="00DB75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B7516">
        <w:rPr>
          <w:sz w:val="28"/>
          <w:szCs w:val="28"/>
        </w:rPr>
        <w:t>не позднее, чем за три рабочих дня до окончания текущего финансового года</w:t>
      </w:r>
      <w:r>
        <w:rPr>
          <w:sz w:val="28"/>
          <w:szCs w:val="28"/>
        </w:rPr>
        <w:t>;</w:t>
      </w:r>
      <w:r w:rsidRPr="003B7516">
        <w:rPr>
          <w:sz w:val="28"/>
          <w:szCs w:val="28"/>
        </w:rPr>
        <w:t xml:space="preserve"> 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B7516">
        <w:rPr>
          <w:sz w:val="28"/>
          <w:szCs w:val="28"/>
        </w:rPr>
        <w:t>для осуществления операций по выплатам за счет наличных денег</w:t>
      </w:r>
      <w:r>
        <w:rPr>
          <w:sz w:val="28"/>
          <w:szCs w:val="28"/>
        </w:rPr>
        <w:t xml:space="preserve"> –</w:t>
      </w:r>
      <w:r w:rsidRPr="003B7516">
        <w:rPr>
          <w:sz w:val="28"/>
          <w:szCs w:val="28"/>
        </w:rPr>
        <w:t xml:space="preserve"> не позднее, чем за два рабочих дня до окончания текущего финансового года.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>5. Документы на внесение изменений в коды бюджетной классификации по операциям, учтенным на лицевых счетах получателей средств краевого бюджета, администраторов источников финансирования дефицита краевого бюджета</w:t>
      </w:r>
      <w:r w:rsidR="00E10FB2">
        <w:rPr>
          <w:sz w:val="28"/>
          <w:szCs w:val="28"/>
        </w:rPr>
        <w:t>,</w:t>
      </w:r>
      <w:r w:rsidRPr="003B7516">
        <w:rPr>
          <w:sz w:val="28"/>
          <w:szCs w:val="28"/>
        </w:rPr>
        <w:t xml:space="preserve"> представляются в Управление не позднее последнего рабочего дня текущего финансового года с направлением Министерством в Управление расходных </w:t>
      </w:r>
      <w:r w:rsidRPr="003B7516">
        <w:rPr>
          <w:sz w:val="28"/>
          <w:szCs w:val="28"/>
        </w:rPr>
        <w:lastRenderedPageBreak/>
        <w:t>расписаний для доведения бюджетных данных (при необходимости).</w:t>
      </w:r>
    </w:p>
    <w:p w:rsidR="00FD19E4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 xml:space="preserve">6. 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</w:t>
      </w:r>
      <w:r>
        <w:rPr>
          <w:sz w:val="28"/>
          <w:szCs w:val="28"/>
        </w:rPr>
        <w:t xml:space="preserve">имеющих целевое назначение, </w:t>
      </w:r>
      <w:r w:rsidRPr="004F5A4A">
        <w:rPr>
          <w:sz w:val="28"/>
          <w:szCs w:val="28"/>
        </w:rPr>
        <w:t>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</w:t>
      </w:r>
      <w:r>
        <w:rPr>
          <w:sz w:val="28"/>
          <w:szCs w:val="28"/>
        </w:rPr>
        <w:t xml:space="preserve">, </w:t>
      </w:r>
      <w:r w:rsidRPr="003B7516">
        <w:rPr>
          <w:sz w:val="28"/>
          <w:szCs w:val="28"/>
        </w:rPr>
        <w:t xml:space="preserve">подлежат </w:t>
      </w:r>
      <w:r w:rsidRPr="008F7831">
        <w:rPr>
          <w:sz w:val="28"/>
          <w:szCs w:val="28"/>
        </w:rPr>
        <w:t xml:space="preserve"> возврату в доход бюджета, из которо</w:t>
      </w:r>
      <w:r>
        <w:rPr>
          <w:sz w:val="28"/>
          <w:szCs w:val="28"/>
        </w:rPr>
        <w:t xml:space="preserve">го они были ранее предоставлены, </w:t>
      </w:r>
      <w:r w:rsidRPr="003B7516">
        <w:rPr>
          <w:sz w:val="28"/>
          <w:szCs w:val="28"/>
        </w:rPr>
        <w:t>в течение первых пятнадцати рабочих дней текущего финансового года.</w:t>
      </w:r>
    </w:p>
    <w:p w:rsidR="00FD19E4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F4629">
        <w:rPr>
          <w:sz w:val="28"/>
          <w:szCs w:val="28"/>
        </w:rPr>
        <w:t xml:space="preserve">Принятие главным администратором средств </w:t>
      </w:r>
      <w:r>
        <w:rPr>
          <w:sz w:val="28"/>
          <w:szCs w:val="28"/>
        </w:rPr>
        <w:t xml:space="preserve">краевого </w:t>
      </w:r>
      <w:r w:rsidRPr="00BF4629">
        <w:rPr>
          <w:sz w:val="28"/>
          <w:szCs w:val="28"/>
        </w:rPr>
        <w:t xml:space="preserve">бюджета решения о наличии (об отсутствии) потребности в указанных в </w:t>
      </w:r>
      <w:r>
        <w:rPr>
          <w:sz w:val="28"/>
          <w:szCs w:val="28"/>
        </w:rPr>
        <w:t>пункте 6</w:t>
      </w:r>
      <w:r w:rsidRPr="00BF462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BF4629">
        <w:rPr>
          <w:sz w:val="28"/>
          <w:szCs w:val="28"/>
        </w:rPr>
        <w:t xml:space="preserve">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средств в </w:t>
      </w:r>
      <w:r>
        <w:rPr>
          <w:sz w:val="28"/>
          <w:szCs w:val="28"/>
        </w:rPr>
        <w:t xml:space="preserve">краевой </w:t>
      </w:r>
      <w:r w:rsidRPr="00BF4629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BF4629">
        <w:rPr>
          <w:sz w:val="28"/>
          <w:szCs w:val="28"/>
        </w:rPr>
        <w:t>в соответствии с отчетом о расходах бюджета</w:t>
      </w:r>
      <w:r>
        <w:rPr>
          <w:sz w:val="28"/>
          <w:szCs w:val="28"/>
        </w:rPr>
        <w:t xml:space="preserve"> </w:t>
      </w:r>
      <w:r w:rsidRPr="004C2F92">
        <w:rPr>
          <w:sz w:val="28"/>
          <w:szCs w:val="28"/>
        </w:rPr>
        <w:t>муниципального образования</w:t>
      </w:r>
      <w:r w:rsidRPr="00BF4629">
        <w:rPr>
          <w:sz w:val="28"/>
          <w:szCs w:val="28"/>
        </w:rPr>
        <w:t>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средств</w:t>
      </w:r>
      <w:r>
        <w:rPr>
          <w:sz w:val="28"/>
          <w:szCs w:val="28"/>
        </w:rPr>
        <w:t xml:space="preserve"> краевого</w:t>
      </w:r>
      <w:r w:rsidRPr="00BF462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FD19E4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F4629">
        <w:rPr>
          <w:sz w:val="28"/>
          <w:szCs w:val="28"/>
        </w:rPr>
        <w:t xml:space="preserve">В соответствии с решением главного администратора средств </w:t>
      </w:r>
      <w:r>
        <w:rPr>
          <w:sz w:val="28"/>
          <w:szCs w:val="28"/>
        </w:rPr>
        <w:t xml:space="preserve">краевого </w:t>
      </w:r>
      <w:r w:rsidRPr="00BF4629">
        <w:rPr>
          <w:sz w:val="28"/>
          <w:szCs w:val="28"/>
        </w:rPr>
        <w:t xml:space="preserve">бюджета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использованных в отчетном финансовом году, согласованным с </w:t>
      </w:r>
      <w:r>
        <w:rPr>
          <w:sz w:val="28"/>
          <w:szCs w:val="28"/>
        </w:rPr>
        <w:t xml:space="preserve">Министерством </w:t>
      </w:r>
      <w:r w:rsidRPr="00BF4629">
        <w:rPr>
          <w:sz w:val="28"/>
          <w:szCs w:val="28"/>
        </w:rPr>
        <w:t>в определяемом им порядке, средства в объеме, не превышающем остатка указанных межбюджетных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B7516">
        <w:rPr>
          <w:sz w:val="28"/>
          <w:szCs w:val="28"/>
        </w:rPr>
        <w:t xml:space="preserve">. В случае,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</w:t>
      </w:r>
      <w:r w:rsidRPr="004C206E">
        <w:rPr>
          <w:sz w:val="28"/>
          <w:szCs w:val="28"/>
        </w:rPr>
        <w:t>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</w:t>
      </w:r>
      <w:r>
        <w:rPr>
          <w:sz w:val="28"/>
          <w:szCs w:val="28"/>
        </w:rPr>
        <w:t xml:space="preserve"> </w:t>
      </w:r>
      <w:r w:rsidRPr="003B7516">
        <w:rPr>
          <w:sz w:val="28"/>
          <w:szCs w:val="28"/>
        </w:rPr>
        <w:t xml:space="preserve">не перечислен в доход </w:t>
      </w:r>
      <w:r>
        <w:rPr>
          <w:sz w:val="28"/>
          <w:szCs w:val="28"/>
        </w:rPr>
        <w:t xml:space="preserve">краевого </w:t>
      </w:r>
      <w:r w:rsidRPr="003B7516">
        <w:rPr>
          <w:sz w:val="28"/>
          <w:szCs w:val="28"/>
        </w:rPr>
        <w:t>бюджета, указанные средства подлежат взысканию в доход краевого бюджета в порядке, определенном Министерством с соблюдением общих требований, установленных Министерством финансов Российской Федерации.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B7516">
        <w:rPr>
          <w:sz w:val="28"/>
          <w:szCs w:val="28"/>
        </w:rPr>
        <w:t xml:space="preserve">. Остатки неиспользованных бюджетных данных, отраженные на лицевых счетах, открытых в Управлении </w:t>
      </w:r>
      <w:r>
        <w:rPr>
          <w:sz w:val="28"/>
          <w:szCs w:val="28"/>
        </w:rPr>
        <w:t xml:space="preserve">главным </w:t>
      </w:r>
      <w:r w:rsidRPr="003B7516">
        <w:rPr>
          <w:sz w:val="28"/>
          <w:szCs w:val="28"/>
        </w:rPr>
        <w:t>распорядителям</w:t>
      </w:r>
      <w:r>
        <w:rPr>
          <w:sz w:val="28"/>
          <w:szCs w:val="28"/>
        </w:rPr>
        <w:t>, распорядителям</w:t>
      </w:r>
      <w:r w:rsidRPr="003B7516">
        <w:rPr>
          <w:sz w:val="28"/>
          <w:szCs w:val="28"/>
        </w:rPr>
        <w:t xml:space="preserve"> и получателям средств краевого бюджета (</w:t>
      </w:r>
      <w:r>
        <w:rPr>
          <w:sz w:val="28"/>
          <w:szCs w:val="28"/>
        </w:rPr>
        <w:t xml:space="preserve">главным </w:t>
      </w:r>
      <w:r w:rsidRPr="003B7516">
        <w:rPr>
          <w:sz w:val="28"/>
          <w:szCs w:val="28"/>
        </w:rPr>
        <w:t>администраторам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администраторам</w:t>
      </w:r>
      <w:r w:rsidRPr="003B7516">
        <w:rPr>
          <w:sz w:val="28"/>
          <w:szCs w:val="28"/>
        </w:rPr>
        <w:t xml:space="preserve"> источников финансирования дефицита краевого бюджета), не подлежат учету на указанных лицевых счетах в качестве остатков на начало очередного финансового года.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B7516">
        <w:rPr>
          <w:sz w:val="28"/>
          <w:szCs w:val="28"/>
        </w:rPr>
        <w:t>. Неиспользованные остатки средств на балансов</w:t>
      </w:r>
      <w:r>
        <w:rPr>
          <w:sz w:val="28"/>
          <w:szCs w:val="28"/>
        </w:rPr>
        <w:t>ом</w:t>
      </w:r>
      <w:r w:rsidRPr="003B7516">
        <w:rPr>
          <w:sz w:val="28"/>
          <w:szCs w:val="28"/>
        </w:rPr>
        <w:t xml:space="preserve"> счет</w:t>
      </w:r>
      <w:r>
        <w:rPr>
          <w:sz w:val="28"/>
          <w:szCs w:val="28"/>
        </w:rPr>
        <w:t>е</w:t>
      </w:r>
      <w:r w:rsidRPr="003B7516">
        <w:rPr>
          <w:sz w:val="28"/>
          <w:szCs w:val="28"/>
        </w:rPr>
        <w:t xml:space="preserve"> № 40116 «Средства для выдачи и внесения наличных денег и осущ</w:t>
      </w:r>
      <w:r>
        <w:rPr>
          <w:sz w:val="28"/>
          <w:szCs w:val="28"/>
        </w:rPr>
        <w:t xml:space="preserve">ествления расчетов по отдельным </w:t>
      </w:r>
      <w:r w:rsidRPr="003B7516">
        <w:rPr>
          <w:sz w:val="28"/>
          <w:szCs w:val="28"/>
        </w:rPr>
        <w:t>операция</w:t>
      </w:r>
      <w:r>
        <w:rPr>
          <w:sz w:val="28"/>
          <w:szCs w:val="28"/>
        </w:rPr>
        <w:t xml:space="preserve">м» (далее – счет </w:t>
      </w:r>
      <w:r w:rsidRPr="003B7516">
        <w:rPr>
          <w:sz w:val="28"/>
          <w:szCs w:val="28"/>
        </w:rPr>
        <w:t>№ 40116) в последний рабочий день текущего финансового года Управление перечисляет платежными поручениями на соответствующие казначейские счета № 03221 «Средства бюджетов субъектов Российской Федерации», № 03224 «Средства бюджетных и автономных учреждений субъектов Российской Федерации», № 3225 «Средства юридических лиц, не являющихся участниками бюджетного процесса, бюджетными и автономными учреждениями, источником финансового обеспечения которых являются средства бюджетов субъектов Российской Федерации» и отражаются как невыясненные поступления.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B188B">
        <w:rPr>
          <w:sz w:val="28"/>
          <w:szCs w:val="28"/>
        </w:rPr>
        <w:t>. Не использованные в текущем финансовом году остатки средств, предоставленных краевым бюджетным и краевым автономным учреждениям</w:t>
      </w:r>
      <w:r>
        <w:rPr>
          <w:sz w:val="28"/>
          <w:szCs w:val="28"/>
        </w:rPr>
        <w:t>,</w:t>
      </w:r>
      <w:r w:rsidRPr="001B188B">
        <w:rPr>
          <w:sz w:val="28"/>
          <w:szCs w:val="28"/>
        </w:rPr>
        <w:t xml:space="preserve"> краевым государственным унитарным предприятиям в форме субсидий, выделенных на основании статей 78</w:t>
      </w:r>
      <w:r>
        <w:t xml:space="preserve">, </w:t>
      </w:r>
      <w:r w:rsidRPr="00444EA2">
        <w:rPr>
          <w:sz w:val="28"/>
          <w:szCs w:val="28"/>
        </w:rPr>
        <w:t>абзаца второго пункта 1 статьи 78</w:t>
      </w:r>
      <w:r>
        <w:rPr>
          <w:sz w:val="28"/>
          <w:szCs w:val="28"/>
          <w:vertAlign w:val="superscript"/>
        </w:rPr>
        <w:t>1</w:t>
      </w:r>
      <w:r w:rsidRPr="00444EA2">
        <w:rPr>
          <w:sz w:val="28"/>
          <w:szCs w:val="28"/>
        </w:rPr>
        <w:t xml:space="preserve">, </w:t>
      </w:r>
      <w:r w:rsidRPr="001B188B">
        <w:rPr>
          <w:sz w:val="28"/>
          <w:szCs w:val="28"/>
        </w:rPr>
        <w:t xml:space="preserve"> 78</w:t>
      </w:r>
      <w:r w:rsidRPr="001B188B">
        <w:rPr>
          <w:sz w:val="28"/>
          <w:szCs w:val="28"/>
          <w:vertAlign w:val="superscript"/>
        </w:rPr>
        <w:t>2</w:t>
      </w:r>
      <w:r w:rsidRPr="001B188B">
        <w:rPr>
          <w:sz w:val="28"/>
          <w:szCs w:val="28"/>
        </w:rPr>
        <w:t xml:space="preserve"> Бюджетного кодекса Российской Федерации в соответствии с нормативными правовыми актами исполнительных органов Камчатского края, регулирующими их предоставление, подлежат возврату краевыми бюджетными, краевыми автономными учреждениями и государственными унитарными предприятиями в доход краевого бюджета до конца текущего финансового года, за исключением случаев, предусмотренных бюджетным законодательством Российской Федерации.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B7516">
        <w:rPr>
          <w:sz w:val="28"/>
          <w:szCs w:val="28"/>
        </w:rPr>
        <w:t xml:space="preserve">. Средства краевого бюджета </w:t>
      </w:r>
      <w:r>
        <w:rPr>
          <w:sz w:val="28"/>
          <w:szCs w:val="28"/>
        </w:rPr>
        <w:t>отчетного</w:t>
      </w:r>
      <w:r w:rsidRPr="003B7516">
        <w:rPr>
          <w:sz w:val="28"/>
          <w:szCs w:val="28"/>
        </w:rPr>
        <w:t xml:space="preserve"> финансового года, поступившие на лицевые счета получателей средств краевого бюджета в </w:t>
      </w:r>
      <w:r>
        <w:rPr>
          <w:sz w:val="28"/>
          <w:szCs w:val="28"/>
        </w:rPr>
        <w:t>текущем</w:t>
      </w:r>
      <w:r w:rsidRPr="003B7516">
        <w:rPr>
          <w:sz w:val="28"/>
          <w:szCs w:val="28"/>
        </w:rPr>
        <w:t xml:space="preserve"> финансовом году, подлежат перечислению в доход краевого бюджета в установленном порядке.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2F0A39">
        <w:rPr>
          <w:sz w:val="28"/>
          <w:szCs w:val="28"/>
        </w:rPr>
        <w:t xml:space="preserve">14. Контроль за осуществлением возврата неиспользованных остатков средств, указанных в пунктах 6, 12 настоящего </w:t>
      </w:r>
      <w:r>
        <w:rPr>
          <w:sz w:val="28"/>
          <w:szCs w:val="28"/>
        </w:rPr>
        <w:t>П</w:t>
      </w:r>
      <w:r w:rsidRPr="002F0A39">
        <w:rPr>
          <w:sz w:val="28"/>
          <w:szCs w:val="28"/>
        </w:rPr>
        <w:t>орядка, в доход краевого бюджета осуществляется главными распорядителями средств краевого бюджета.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B7516">
        <w:rPr>
          <w:sz w:val="28"/>
          <w:szCs w:val="28"/>
        </w:rPr>
        <w:t xml:space="preserve">. Получатели средств краевого бюджета, осуществляющие свою деятельность в нерабочие праздничные дни в Российской Федерации в январе очередного финансового года, в целях финансового обеспечения указанной деятельности вправе иметь в кассе остаток наличных денежных средств </w:t>
      </w:r>
      <w:r>
        <w:rPr>
          <w:sz w:val="28"/>
          <w:szCs w:val="28"/>
        </w:rPr>
        <w:t>отчетного</w:t>
      </w:r>
      <w:r w:rsidRPr="003B7516">
        <w:rPr>
          <w:sz w:val="28"/>
          <w:szCs w:val="28"/>
        </w:rPr>
        <w:t xml:space="preserve"> финансового года в пределах у</w:t>
      </w:r>
      <w:r>
        <w:rPr>
          <w:sz w:val="28"/>
          <w:szCs w:val="28"/>
        </w:rPr>
        <w:t xml:space="preserve">становленной ими в соответствии с требованиями Указания Банка России от 11 марта 2014 года </w:t>
      </w:r>
      <w:r>
        <w:rPr>
          <w:sz w:val="28"/>
          <w:szCs w:val="28"/>
        </w:rPr>
        <w:br/>
        <w:t xml:space="preserve">№ 3210-У </w:t>
      </w:r>
      <w:r w:rsidRPr="003B7516">
        <w:rPr>
          <w:sz w:val="28"/>
          <w:szCs w:val="28"/>
        </w:rPr>
        <w:t>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максимально допустимой суммы наличных денег, которая может храниться в кассе (далее</w:t>
      </w:r>
      <w:r>
        <w:rPr>
          <w:sz w:val="28"/>
          <w:szCs w:val="28"/>
        </w:rPr>
        <w:t xml:space="preserve"> –</w:t>
      </w:r>
      <w:r w:rsidRPr="003B7516">
        <w:rPr>
          <w:sz w:val="28"/>
          <w:szCs w:val="28"/>
        </w:rPr>
        <w:t xml:space="preserve"> остатки наличных денежных средств).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3B7516">
        <w:rPr>
          <w:sz w:val="28"/>
          <w:szCs w:val="28"/>
        </w:rPr>
        <w:t>. Остатки наличны</w:t>
      </w:r>
      <w:r>
        <w:rPr>
          <w:sz w:val="28"/>
          <w:szCs w:val="28"/>
        </w:rPr>
        <w:t xml:space="preserve">х денежных средств по состоянию на 1 января </w:t>
      </w:r>
      <w:r w:rsidRPr="003B7516">
        <w:rPr>
          <w:sz w:val="28"/>
          <w:szCs w:val="28"/>
        </w:rPr>
        <w:lastRenderedPageBreak/>
        <w:t>очередного</w:t>
      </w:r>
      <w:r>
        <w:rPr>
          <w:sz w:val="28"/>
          <w:szCs w:val="28"/>
        </w:rPr>
        <w:t xml:space="preserve"> финансового года, </w:t>
      </w:r>
      <w:r w:rsidRPr="003B751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B7516">
        <w:rPr>
          <w:sz w:val="28"/>
          <w:szCs w:val="28"/>
        </w:rPr>
        <w:t>использован</w:t>
      </w:r>
      <w:r>
        <w:rPr>
          <w:sz w:val="28"/>
          <w:szCs w:val="28"/>
        </w:rPr>
        <w:t xml:space="preserve">ные в нерабочие праздничные дни </w:t>
      </w:r>
      <w:r w:rsidRPr="003B7516">
        <w:rPr>
          <w:sz w:val="28"/>
          <w:szCs w:val="28"/>
        </w:rPr>
        <w:t>очередного финансового года, подлежат взносу на счет № 40116 не позднее третьего рабочего дня очередного финансового года в целях последующего перечисления в доход краевого бюджета в порядке, установленном для возврата дебиторской задолженности прошлых лет получателей средств краевого бюджета.</w:t>
      </w:r>
    </w:p>
    <w:p w:rsidR="00FD19E4" w:rsidRPr="003B7516" w:rsidRDefault="00FD19E4" w:rsidP="00FD19E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3B7516">
        <w:rPr>
          <w:sz w:val="28"/>
          <w:szCs w:val="28"/>
        </w:rPr>
        <w:t>Операции очередного финансового года за счет указанного в абзаце первом настоящего пункта остатка наличных денежных средств подлежат отражению в бюджетном учете и бюджетной отчетности за очередной финансовый год.</w:t>
      </w:r>
    </w:p>
    <w:p w:rsidR="00FD19E4" w:rsidRDefault="00FD19E4" w:rsidP="00FD19E4"/>
    <w:sectPr w:rsidR="00FD19E4" w:rsidSect="00822A65">
      <w:headerReference w:type="default" r:id="rId9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E5" w:rsidRDefault="006E24E5">
      <w:pPr>
        <w:spacing w:after="0" w:line="240" w:lineRule="auto"/>
      </w:pPr>
      <w:r>
        <w:separator/>
      </w:r>
    </w:p>
  </w:endnote>
  <w:endnote w:type="continuationSeparator" w:id="0">
    <w:p w:rsidR="006E24E5" w:rsidRDefault="006E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E5" w:rsidRDefault="006E24E5">
      <w:pPr>
        <w:spacing w:after="0" w:line="240" w:lineRule="auto"/>
      </w:pPr>
      <w:r>
        <w:separator/>
      </w:r>
    </w:p>
  </w:footnote>
  <w:footnote w:type="continuationSeparator" w:id="0">
    <w:p w:rsidR="006E24E5" w:rsidRDefault="006E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385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611A3" w:rsidRPr="00CB6635" w:rsidRDefault="00D611A3" w:rsidP="00D611A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B6635">
          <w:rPr>
            <w:rFonts w:ascii="Times New Roman" w:hAnsi="Times New Roman"/>
            <w:sz w:val="28"/>
            <w:szCs w:val="28"/>
          </w:rPr>
          <w:fldChar w:fldCharType="begin"/>
        </w:r>
        <w:r w:rsidRPr="00CB663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B6635">
          <w:rPr>
            <w:rFonts w:ascii="Times New Roman" w:hAnsi="Times New Roman"/>
            <w:sz w:val="28"/>
            <w:szCs w:val="28"/>
          </w:rPr>
          <w:fldChar w:fldCharType="separate"/>
        </w:r>
        <w:r w:rsidR="00D20FAA">
          <w:rPr>
            <w:rFonts w:ascii="Times New Roman" w:hAnsi="Times New Roman"/>
            <w:noProof/>
            <w:sz w:val="28"/>
            <w:szCs w:val="28"/>
          </w:rPr>
          <w:t>4</w:t>
        </w:r>
        <w:r w:rsidRPr="00CB663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611A3" w:rsidRDefault="00D611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65B"/>
    <w:multiLevelType w:val="hybridMultilevel"/>
    <w:tmpl w:val="FAA4F342"/>
    <w:lvl w:ilvl="0" w:tplc="A372CF9A">
      <w:start w:val="1"/>
      <w:numFmt w:val="decimal"/>
      <w:suff w:val="space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965B1F"/>
    <w:multiLevelType w:val="hybridMultilevel"/>
    <w:tmpl w:val="ED742256"/>
    <w:lvl w:ilvl="0" w:tplc="578E69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F33"/>
    <w:multiLevelType w:val="hybridMultilevel"/>
    <w:tmpl w:val="F7700952"/>
    <w:lvl w:ilvl="0" w:tplc="578E69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025"/>
    <w:multiLevelType w:val="hybridMultilevel"/>
    <w:tmpl w:val="534A9530"/>
    <w:lvl w:ilvl="0" w:tplc="853CE39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594C08"/>
    <w:multiLevelType w:val="hybridMultilevel"/>
    <w:tmpl w:val="2392F7FA"/>
    <w:lvl w:ilvl="0" w:tplc="578E69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86FFA"/>
    <w:multiLevelType w:val="hybridMultilevel"/>
    <w:tmpl w:val="80E080F0"/>
    <w:lvl w:ilvl="0" w:tplc="0EB44E62">
      <w:start w:val="1"/>
      <w:numFmt w:val="russianLower"/>
      <w:suff w:val="space"/>
      <w:lvlText w:val="%1)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766DD7"/>
    <w:multiLevelType w:val="hybridMultilevel"/>
    <w:tmpl w:val="3CC6CD38"/>
    <w:lvl w:ilvl="0" w:tplc="1AE419F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D2520A"/>
    <w:multiLevelType w:val="hybridMultilevel"/>
    <w:tmpl w:val="4314B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7E6803"/>
    <w:multiLevelType w:val="hybridMultilevel"/>
    <w:tmpl w:val="3FBC9C4E"/>
    <w:lvl w:ilvl="0" w:tplc="D794D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2A3924"/>
    <w:multiLevelType w:val="hybridMultilevel"/>
    <w:tmpl w:val="4C44475E"/>
    <w:lvl w:ilvl="0" w:tplc="603C789A">
      <w:start w:val="1"/>
      <w:numFmt w:val="russianLow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84B00C5"/>
    <w:multiLevelType w:val="multilevel"/>
    <w:tmpl w:val="6ACC748E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A803666"/>
    <w:multiLevelType w:val="hybridMultilevel"/>
    <w:tmpl w:val="CEAC5A4A"/>
    <w:lvl w:ilvl="0" w:tplc="8F2C190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1A45C4"/>
    <w:multiLevelType w:val="hybridMultilevel"/>
    <w:tmpl w:val="F11C49D6"/>
    <w:lvl w:ilvl="0" w:tplc="10F84D18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B11D93"/>
    <w:multiLevelType w:val="multilevel"/>
    <w:tmpl w:val="9AD45E5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F5F60"/>
    <w:multiLevelType w:val="hybridMultilevel"/>
    <w:tmpl w:val="6E2C2B5E"/>
    <w:lvl w:ilvl="0" w:tplc="47B8EA9E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33236DB"/>
    <w:multiLevelType w:val="hybridMultilevel"/>
    <w:tmpl w:val="2A1AAC08"/>
    <w:lvl w:ilvl="0" w:tplc="B5946AF2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56289"/>
    <w:multiLevelType w:val="hybridMultilevel"/>
    <w:tmpl w:val="FFEC9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0B31DE"/>
    <w:multiLevelType w:val="hybridMultilevel"/>
    <w:tmpl w:val="9982A500"/>
    <w:lvl w:ilvl="0" w:tplc="578E691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BE28B8"/>
    <w:multiLevelType w:val="multilevel"/>
    <w:tmpl w:val="18D274E2"/>
    <w:lvl w:ilvl="0">
      <w:start w:val="1"/>
      <w:numFmt w:val="decimal"/>
      <w:suff w:val="space"/>
      <w:lvlText w:val="%1."/>
      <w:lvlJc w:val="left"/>
      <w:pPr>
        <w:ind w:left="57" w:hanging="489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26" w:hanging="533"/>
      </w:pPr>
      <w:rPr>
        <w:rFonts w:ascii="Times New Roman" w:eastAsia="Times New Roman" w:hAnsi="Times New Roman" w:hint="default"/>
        <w:color w:val="1C1C1F"/>
        <w:w w:val="98"/>
        <w:sz w:val="27"/>
        <w:szCs w:val="27"/>
      </w:rPr>
    </w:lvl>
    <w:lvl w:ilvl="2">
      <w:start w:val="1"/>
      <w:numFmt w:val="bullet"/>
      <w:lvlText w:val="•"/>
      <w:lvlJc w:val="left"/>
      <w:pPr>
        <w:ind w:left="2062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3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4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4" w:hanging="533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0"/>
  </w:num>
  <w:num w:numId="5">
    <w:abstractNumId w:val="7"/>
  </w:num>
  <w:num w:numId="6">
    <w:abstractNumId w:val="8"/>
  </w:num>
  <w:num w:numId="7">
    <w:abstractNumId w:val="16"/>
  </w:num>
  <w:num w:numId="8">
    <w:abstractNumId w:val="6"/>
  </w:num>
  <w:num w:numId="9">
    <w:abstractNumId w:val="11"/>
  </w:num>
  <w:num w:numId="10">
    <w:abstractNumId w:val="1"/>
  </w:num>
  <w:num w:numId="11">
    <w:abstractNumId w:val="15"/>
  </w:num>
  <w:num w:numId="12">
    <w:abstractNumId w:val="4"/>
  </w:num>
  <w:num w:numId="13">
    <w:abstractNumId w:val="12"/>
  </w:num>
  <w:num w:numId="14">
    <w:abstractNumId w:val="17"/>
  </w:num>
  <w:num w:numId="15">
    <w:abstractNumId w:val="3"/>
  </w:num>
  <w:num w:numId="16">
    <w:abstractNumId w:val="2"/>
  </w:num>
  <w:num w:numId="17">
    <w:abstractNumId w:val="5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79"/>
    <w:rsid w:val="000165BE"/>
    <w:rsid w:val="00032202"/>
    <w:rsid w:val="0004157C"/>
    <w:rsid w:val="0005232C"/>
    <w:rsid w:val="00067804"/>
    <w:rsid w:val="00074552"/>
    <w:rsid w:val="00076751"/>
    <w:rsid w:val="00092C1B"/>
    <w:rsid w:val="00094D66"/>
    <w:rsid w:val="000A5D7C"/>
    <w:rsid w:val="000E0789"/>
    <w:rsid w:val="000E3BD3"/>
    <w:rsid w:val="000F4AD4"/>
    <w:rsid w:val="00107E3F"/>
    <w:rsid w:val="0011021D"/>
    <w:rsid w:val="001103F9"/>
    <w:rsid w:val="00174A4D"/>
    <w:rsid w:val="00194B6B"/>
    <w:rsid w:val="00194EB5"/>
    <w:rsid w:val="001A1003"/>
    <w:rsid w:val="001A29DA"/>
    <w:rsid w:val="001A3593"/>
    <w:rsid w:val="001B71B9"/>
    <w:rsid w:val="00200ABC"/>
    <w:rsid w:val="00201943"/>
    <w:rsid w:val="002205A5"/>
    <w:rsid w:val="00223AC4"/>
    <w:rsid w:val="00225800"/>
    <w:rsid w:val="0023341E"/>
    <w:rsid w:val="00240BF0"/>
    <w:rsid w:val="0024798D"/>
    <w:rsid w:val="00250389"/>
    <w:rsid w:val="00250E71"/>
    <w:rsid w:val="00291176"/>
    <w:rsid w:val="002A4EE5"/>
    <w:rsid w:val="002A7A58"/>
    <w:rsid w:val="002A7E31"/>
    <w:rsid w:val="002F0100"/>
    <w:rsid w:val="002F6B28"/>
    <w:rsid w:val="0030006B"/>
    <w:rsid w:val="00312D3B"/>
    <w:rsid w:val="00334D0D"/>
    <w:rsid w:val="003D048E"/>
    <w:rsid w:val="003D4A36"/>
    <w:rsid w:val="00446FE2"/>
    <w:rsid w:val="00447537"/>
    <w:rsid w:val="00450092"/>
    <w:rsid w:val="004A52AC"/>
    <w:rsid w:val="004D4633"/>
    <w:rsid w:val="00570574"/>
    <w:rsid w:val="005A29FD"/>
    <w:rsid w:val="005E15B1"/>
    <w:rsid w:val="005E3524"/>
    <w:rsid w:val="005F6141"/>
    <w:rsid w:val="00605AC3"/>
    <w:rsid w:val="00627510"/>
    <w:rsid w:val="006302F4"/>
    <w:rsid w:val="006465FB"/>
    <w:rsid w:val="00690F54"/>
    <w:rsid w:val="00691888"/>
    <w:rsid w:val="006B0C54"/>
    <w:rsid w:val="006B4CCC"/>
    <w:rsid w:val="006E24E5"/>
    <w:rsid w:val="0071036C"/>
    <w:rsid w:val="00710C62"/>
    <w:rsid w:val="0071436F"/>
    <w:rsid w:val="00730F1A"/>
    <w:rsid w:val="007704D9"/>
    <w:rsid w:val="007B5E1C"/>
    <w:rsid w:val="007D0841"/>
    <w:rsid w:val="007F07CD"/>
    <w:rsid w:val="007F7E3C"/>
    <w:rsid w:val="00813FA3"/>
    <w:rsid w:val="00822A65"/>
    <w:rsid w:val="008401ED"/>
    <w:rsid w:val="0087279B"/>
    <w:rsid w:val="008A043D"/>
    <w:rsid w:val="008B0983"/>
    <w:rsid w:val="008B7D74"/>
    <w:rsid w:val="008C6042"/>
    <w:rsid w:val="008E3301"/>
    <w:rsid w:val="009045E8"/>
    <w:rsid w:val="00916EAD"/>
    <w:rsid w:val="00995297"/>
    <w:rsid w:val="009A1A38"/>
    <w:rsid w:val="009D2536"/>
    <w:rsid w:val="009E2406"/>
    <w:rsid w:val="009F701B"/>
    <w:rsid w:val="00A134BD"/>
    <w:rsid w:val="00A16A62"/>
    <w:rsid w:val="00A44248"/>
    <w:rsid w:val="00A469AC"/>
    <w:rsid w:val="00A63163"/>
    <w:rsid w:val="00A63E90"/>
    <w:rsid w:val="00A702E3"/>
    <w:rsid w:val="00A734E4"/>
    <w:rsid w:val="00AA2B73"/>
    <w:rsid w:val="00AA38A2"/>
    <w:rsid w:val="00AB738E"/>
    <w:rsid w:val="00AC5CF5"/>
    <w:rsid w:val="00AD670C"/>
    <w:rsid w:val="00AE2AF8"/>
    <w:rsid w:val="00B032F6"/>
    <w:rsid w:val="00B131BD"/>
    <w:rsid w:val="00B4562D"/>
    <w:rsid w:val="00B527B8"/>
    <w:rsid w:val="00B57812"/>
    <w:rsid w:val="00B65C32"/>
    <w:rsid w:val="00B70E5C"/>
    <w:rsid w:val="00B73D28"/>
    <w:rsid w:val="00BA2C77"/>
    <w:rsid w:val="00BC1139"/>
    <w:rsid w:val="00BC6B8D"/>
    <w:rsid w:val="00BC6F62"/>
    <w:rsid w:val="00C07979"/>
    <w:rsid w:val="00C11615"/>
    <w:rsid w:val="00C2341D"/>
    <w:rsid w:val="00C52987"/>
    <w:rsid w:val="00C620E0"/>
    <w:rsid w:val="00C7065B"/>
    <w:rsid w:val="00CB6635"/>
    <w:rsid w:val="00CB7B85"/>
    <w:rsid w:val="00CD4DDC"/>
    <w:rsid w:val="00D20FAA"/>
    <w:rsid w:val="00D23CD1"/>
    <w:rsid w:val="00D470E4"/>
    <w:rsid w:val="00D611A3"/>
    <w:rsid w:val="00D77391"/>
    <w:rsid w:val="00D8103E"/>
    <w:rsid w:val="00D84808"/>
    <w:rsid w:val="00DB05AD"/>
    <w:rsid w:val="00DC579D"/>
    <w:rsid w:val="00E10FB2"/>
    <w:rsid w:val="00E17209"/>
    <w:rsid w:val="00E32BF5"/>
    <w:rsid w:val="00E377F2"/>
    <w:rsid w:val="00E52E4D"/>
    <w:rsid w:val="00E70E5E"/>
    <w:rsid w:val="00E94D55"/>
    <w:rsid w:val="00EB3701"/>
    <w:rsid w:val="00ED596A"/>
    <w:rsid w:val="00F2679F"/>
    <w:rsid w:val="00F43F63"/>
    <w:rsid w:val="00FA47E0"/>
    <w:rsid w:val="00FA6E8E"/>
    <w:rsid w:val="00FC0E28"/>
    <w:rsid w:val="00FD045B"/>
    <w:rsid w:val="00FD19E4"/>
    <w:rsid w:val="00FE2C4E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C26FC53"/>
  <w15:docId w15:val="{05B649FB-F009-414F-9932-B55A6FA6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74">
    <w:name w:val="xl74"/>
    <w:basedOn w:val="a"/>
    <w:rsid w:val="00FC0E28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styleId="af1">
    <w:name w:val="List Paragraph"/>
    <w:basedOn w:val="a"/>
    <w:link w:val="af2"/>
    <w:uiPriority w:val="34"/>
    <w:qFormat/>
    <w:rsid w:val="00FC0E28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sid w:val="00FC0E28"/>
  </w:style>
  <w:style w:type="paragraph" w:customStyle="1" w:styleId="xl66">
    <w:name w:val="xl66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msonormal0">
    <w:name w:val="msonormal"/>
    <w:basedOn w:val="a"/>
    <w:rsid w:val="00FC0E28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3">
    <w:name w:val="annotation text"/>
    <w:basedOn w:val="a"/>
    <w:link w:val="af4"/>
    <w:rsid w:val="00FC0E28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rsid w:val="00FC0E28"/>
    <w:rPr>
      <w:sz w:val="20"/>
    </w:rPr>
  </w:style>
  <w:style w:type="paragraph" w:customStyle="1" w:styleId="17">
    <w:name w:val="Знак примечания1"/>
    <w:basedOn w:val="12"/>
    <w:link w:val="af5"/>
    <w:rsid w:val="00FC0E28"/>
    <w:rPr>
      <w:sz w:val="16"/>
    </w:rPr>
  </w:style>
  <w:style w:type="character" w:styleId="af5">
    <w:name w:val="annotation reference"/>
    <w:basedOn w:val="a0"/>
    <w:link w:val="17"/>
    <w:rsid w:val="00FC0E28"/>
    <w:rPr>
      <w:sz w:val="16"/>
    </w:rPr>
  </w:style>
  <w:style w:type="paragraph" w:customStyle="1" w:styleId="xl70">
    <w:name w:val="xl70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3">
    <w:name w:val="xl73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8">
    <w:name w:val="xl68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styleId="af6">
    <w:name w:val="annotation subject"/>
    <w:basedOn w:val="af3"/>
    <w:next w:val="af3"/>
    <w:link w:val="af7"/>
    <w:rsid w:val="00FC0E28"/>
    <w:rPr>
      <w:b/>
    </w:rPr>
  </w:style>
  <w:style w:type="character" w:customStyle="1" w:styleId="af7">
    <w:name w:val="Тема примечания Знак"/>
    <w:basedOn w:val="af4"/>
    <w:link w:val="af6"/>
    <w:rsid w:val="00FC0E28"/>
    <w:rPr>
      <w:b/>
      <w:sz w:val="20"/>
    </w:rPr>
  </w:style>
  <w:style w:type="paragraph" w:customStyle="1" w:styleId="xl71">
    <w:name w:val="xl71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8">
    <w:name w:val="Просмотренная гиперссылка1"/>
    <w:basedOn w:val="12"/>
    <w:link w:val="af8"/>
    <w:rsid w:val="00FC0E28"/>
    <w:rPr>
      <w:color w:val="954F72"/>
      <w:u w:val="single"/>
    </w:rPr>
  </w:style>
  <w:style w:type="character" w:styleId="af8">
    <w:name w:val="FollowedHyperlink"/>
    <w:basedOn w:val="a0"/>
    <w:link w:val="18"/>
    <w:rsid w:val="00FC0E28"/>
    <w:rPr>
      <w:color w:val="954F72"/>
      <w:u w:val="single"/>
    </w:rPr>
  </w:style>
  <w:style w:type="paragraph" w:customStyle="1" w:styleId="xl72">
    <w:name w:val="xl72"/>
    <w:basedOn w:val="a"/>
    <w:rsid w:val="00FC0E28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5">
    <w:name w:val="xl65"/>
    <w:basedOn w:val="a"/>
    <w:rsid w:val="00FC0E28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B131B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f9">
    <w:name w:val="No Spacing"/>
    <w:uiPriority w:val="1"/>
    <w:qFormat/>
    <w:rsid w:val="00B13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6216-FD66-44C8-91B3-577E22EE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Хамлова Наталья Львовна</cp:lastModifiedBy>
  <cp:revision>106</cp:revision>
  <cp:lastPrinted>2024-09-20T02:40:00Z</cp:lastPrinted>
  <dcterms:created xsi:type="dcterms:W3CDTF">2023-10-09T23:42:00Z</dcterms:created>
  <dcterms:modified xsi:type="dcterms:W3CDTF">2024-10-09T23:58:00Z</dcterms:modified>
</cp:coreProperties>
</file>