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57E" w:rsidRDefault="004358C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F357E" w:rsidRDefault="00BF357E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58C6" w:rsidRPr="008F6CCD" w:rsidRDefault="004358C6" w:rsidP="004358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6CCD">
        <w:rPr>
          <w:rFonts w:ascii="Times New Roman" w:hAnsi="Times New Roman" w:cs="Times New Roman"/>
          <w:sz w:val="24"/>
          <w:szCs w:val="24"/>
        </w:rPr>
        <w:t>6.4.3.25. МЕТОДИКА</w:t>
      </w:r>
    </w:p>
    <w:p w:rsidR="004358C6" w:rsidRPr="008F6CCD" w:rsidRDefault="004358C6" w:rsidP="004358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6CCD">
        <w:rPr>
          <w:rFonts w:ascii="Times New Roman" w:hAnsi="Times New Roman" w:cs="Times New Roman"/>
          <w:sz w:val="24"/>
          <w:szCs w:val="24"/>
        </w:rPr>
        <w:t xml:space="preserve">РАСЧЕТА СУБСИДИЙ МЕСТНЫМ БЮДЖЕТАМ, </w:t>
      </w:r>
    </w:p>
    <w:p w:rsidR="004358C6" w:rsidRPr="008F6CCD" w:rsidRDefault="004358C6" w:rsidP="004358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6CCD">
        <w:rPr>
          <w:rFonts w:ascii="Times New Roman" w:hAnsi="Times New Roman" w:cs="Times New Roman"/>
          <w:sz w:val="24"/>
          <w:szCs w:val="24"/>
        </w:rPr>
        <w:t>ПРЕДОСТАВЛЯЕМЫХ ИЗ КРАЕВОГО БЮДЖЕТА НА ПРОВЕДЕНИЕ РЕМОНТА ВЕТХИХ И АВАРИЙНЫХ СЕТЕЙ</w:t>
      </w:r>
    </w:p>
    <w:p w:rsidR="00BF357E" w:rsidRDefault="00BF357E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BF357E" w:rsidRPr="004358C6" w:rsidRDefault="004358C6">
      <w:pPr>
        <w:pStyle w:val="a8"/>
        <w:spacing w:beforeAutospacing="0" w:after="0" w:afterAutospacing="0" w:line="288" w:lineRule="atLeast"/>
        <w:ind w:firstLine="540"/>
        <w:jc w:val="both"/>
      </w:pPr>
      <w:r>
        <w:t>Размер субсидий, предоставляемых из краевого бюджета местным бюджетам на проведение ремонта ветхих и аварийных сетей, определяется по следующей формуле</w:t>
      </w:r>
      <w:r w:rsidRPr="004358C6">
        <w:t>:</w:t>
      </w:r>
    </w:p>
    <w:p w:rsidR="00BF357E" w:rsidRDefault="004358C6">
      <w:pPr>
        <w:pStyle w:val="a8"/>
        <w:spacing w:beforeAutospacing="0" w:after="0" w:afterAutospacing="0" w:line="288" w:lineRule="atLeast"/>
        <w:jc w:val="both"/>
      </w:pPr>
      <w:r>
        <w:t xml:space="preserve">  </w:t>
      </w:r>
    </w:p>
    <w:p w:rsidR="00BF357E" w:rsidRDefault="004358C6">
      <w:pPr>
        <w:pStyle w:val="a8"/>
        <w:spacing w:beforeAutospacing="0" w:after="0" w:afterAutospacing="0"/>
        <w:jc w:val="center"/>
      </w:pPr>
      <w:proofErr w:type="spellStart"/>
      <w:r w:rsidRPr="004358C6">
        <w:t>C</w:t>
      </w:r>
      <w:r w:rsidRPr="004358C6">
        <w:rPr>
          <w:vertAlign w:val="subscript"/>
        </w:rPr>
        <w:t>j</w:t>
      </w:r>
      <w:proofErr w:type="spellEnd"/>
      <w:r w:rsidRPr="004358C6">
        <w:rPr>
          <w:vertAlign w:val="subscript"/>
        </w:rPr>
        <w:t>=</w:t>
      </w:r>
      <w:proofErr w:type="spellStart"/>
      <w:r w:rsidRPr="004358C6">
        <w:t>C</w:t>
      </w:r>
      <w:r w:rsidRPr="004358C6">
        <w:rPr>
          <w:vertAlign w:val="subscript"/>
        </w:rPr>
        <w:t>j</w:t>
      </w:r>
      <w:proofErr w:type="spellEnd"/>
      <w:r w:rsidRPr="004358C6">
        <w:rPr>
          <w:vertAlign w:val="subscript"/>
        </w:rPr>
        <w:t xml:space="preserve"> </w:t>
      </w:r>
      <w:proofErr w:type="spellStart"/>
      <w:r w:rsidRPr="004358C6">
        <w:rPr>
          <w:vertAlign w:val="subscript"/>
        </w:rPr>
        <w:t>расч</w:t>
      </w:r>
      <w:proofErr w:type="spellEnd"/>
      <w:r w:rsidRPr="004358C6">
        <w:rPr>
          <w:vertAlign w:val="subscript"/>
        </w:rPr>
        <w:t>.</w:t>
      </w:r>
      <w:r w:rsidRPr="004358C6">
        <w:t xml:space="preserve"> х </w:t>
      </w:r>
      <w:proofErr w:type="gramStart"/>
      <w:r w:rsidRPr="004358C6">
        <w:t>Со</w:t>
      </w:r>
      <w:proofErr w:type="gramEnd"/>
      <w:r w:rsidRPr="004358C6">
        <w:t xml:space="preserve"> / SUM (</w:t>
      </w:r>
      <w:proofErr w:type="spellStart"/>
      <w:r w:rsidRPr="004358C6">
        <w:t>С</w:t>
      </w:r>
      <w:r w:rsidRPr="004358C6">
        <w:rPr>
          <w:vertAlign w:val="subscript"/>
        </w:rPr>
        <w:t>j</w:t>
      </w:r>
      <w:proofErr w:type="spellEnd"/>
      <w:r w:rsidRPr="004358C6">
        <w:rPr>
          <w:vertAlign w:val="subscript"/>
        </w:rPr>
        <w:t xml:space="preserve"> </w:t>
      </w:r>
      <w:proofErr w:type="spellStart"/>
      <w:r w:rsidRPr="004358C6">
        <w:rPr>
          <w:vertAlign w:val="subscript"/>
        </w:rPr>
        <w:t>расч</w:t>
      </w:r>
      <w:proofErr w:type="spellEnd"/>
      <w:r w:rsidRPr="004358C6">
        <w:rPr>
          <w:vertAlign w:val="subscript"/>
        </w:rPr>
        <w:t>.</w:t>
      </w:r>
      <w:r w:rsidRPr="004358C6">
        <w:t>),</w:t>
      </w:r>
      <w:r>
        <w:t xml:space="preserve"> где: </w:t>
      </w:r>
    </w:p>
    <w:p w:rsidR="00BF357E" w:rsidRDefault="004358C6">
      <w:pPr>
        <w:pStyle w:val="a8"/>
        <w:spacing w:beforeAutospacing="0" w:after="0" w:afterAutospacing="0" w:line="288" w:lineRule="atLeast"/>
        <w:jc w:val="both"/>
      </w:pPr>
      <w:r>
        <w:t xml:space="preserve">  </w:t>
      </w:r>
    </w:p>
    <w:p w:rsidR="00BF357E" w:rsidRDefault="004358C6">
      <w:pPr>
        <w:pStyle w:val="a8"/>
        <w:spacing w:beforeAutospacing="0" w:after="0" w:afterAutospacing="0" w:line="288" w:lineRule="atLeast"/>
        <w:ind w:firstLine="540"/>
        <w:jc w:val="both"/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t xml:space="preserve"> - размер субсидии, предоставляемой бюджету j-</w:t>
      </w:r>
      <w:proofErr w:type="spellStart"/>
      <w:r>
        <w:t>го</w:t>
      </w:r>
      <w:proofErr w:type="spellEnd"/>
      <w:r>
        <w:t xml:space="preserve"> муниципального образования;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r>
        <w:t>Со - общий объем средств краевого бюджета, предусмотренный на реализацию мероприятия, подлежащий распределению между муниципальными образования</w:t>
      </w:r>
      <w:r>
        <w:t xml:space="preserve">ми;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расч</w:t>
      </w:r>
      <w:proofErr w:type="spellEnd"/>
      <w:r>
        <w:rPr>
          <w:vertAlign w:val="subscript"/>
        </w:rPr>
        <w:t>.</w:t>
      </w:r>
      <w:r>
        <w:t xml:space="preserve"> </w:t>
      </w:r>
      <w:r>
        <w:rPr>
          <w:vertAlign w:val="superscript"/>
        </w:rPr>
        <w:t>_</w:t>
      </w:r>
      <w:r>
        <w:t xml:space="preserve"> расчетный объем субсидии бюджету j-</w:t>
      </w:r>
      <w:proofErr w:type="spellStart"/>
      <w:r>
        <w:t>гo</w:t>
      </w:r>
      <w:proofErr w:type="spellEnd"/>
      <w:r>
        <w:t xml:space="preserve"> муниципального образования, определяемый по формуле: </w:t>
      </w:r>
    </w:p>
    <w:p w:rsidR="00BF357E" w:rsidRDefault="004358C6">
      <w:pPr>
        <w:pStyle w:val="a8"/>
        <w:spacing w:beforeAutospacing="0" w:after="0" w:afterAutospacing="0" w:line="288" w:lineRule="atLeast"/>
        <w:jc w:val="both"/>
      </w:pPr>
      <w:r>
        <w:t xml:space="preserve">  </w:t>
      </w:r>
    </w:p>
    <w:p w:rsidR="00BF357E" w:rsidRPr="004358C6" w:rsidRDefault="004358C6">
      <w:pPr>
        <w:pStyle w:val="a8"/>
        <w:spacing w:beforeAutospacing="0" w:after="0" w:afterAutospacing="0"/>
        <w:jc w:val="center"/>
      </w:pPr>
      <w:proofErr w:type="spellStart"/>
      <w:r w:rsidRPr="004358C6">
        <w:t>C</w:t>
      </w:r>
      <w:r w:rsidRPr="004358C6">
        <w:rPr>
          <w:vertAlign w:val="subscript"/>
        </w:rPr>
        <w:t>j</w:t>
      </w:r>
      <w:proofErr w:type="spellEnd"/>
      <w:r w:rsidRPr="004358C6">
        <w:rPr>
          <w:vertAlign w:val="subscript"/>
        </w:rPr>
        <w:t xml:space="preserve"> </w:t>
      </w:r>
      <w:proofErr w:type="spellStart"/>
      <w:r w:rsidRPr="004358C6">
        <w:rPr>
          <w:vertAlign w:val="subscript"/>
        </w:rPr>
        <w:t>расч</w:t>
      </w:r>
      <w:proofErr w:type="spellEnd"/>
      <w:r w:rsidRPr="004358C6">
        <w:rPr>
          <w:vertAlign w:val="subscript"/>
        </w:rPr>
        <w:t>.</w:t>
      </w:r>
      <w:r w:rsidRPr="004358C6">
        <w:t xml:space="preserve"> = ((</w:t>
      </w:r>
      <w:proofErr w:type="spellStart"/>
      <w:r w:rsidRPr="004358C6">
        <w:t>П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ТС</w:t>
      </w:r>
      <w:proofErr w:type="spellEnd"/>
      <w:r w:rsidRPr="004358C6">
        <w:t xml:space="preserve"> х </w:t>
      </w:r>
      <w:proofErr w:type="spellStart"/>
      <w:r w:rsidRPr="004358C6">
        <w:t>Н</w:t>
      </w:r>
      <w:r w:rsidRPr="004358C6">
        <w:rPr>
          <w:vertAlign w:val="subscript"/>
        </w:rPr>
        <w:t>ср.</w:t>
      </w:r>
      <w:r w:rsidRPr="004358C6">
        <w:rPr>
          <w:vertAlign w:val="superscript"/>
        </w:rPr>
        <w:t>ТС</w:t>
      </w:r>
      <w:proofErr w:type="spellEnd"/>
      <w:r w:rsidRPr="004358C6">
        <w:t xml:space="preserve"> х </w:t>
      </w:r>
      <w:proofErr w:type="spellStart"/>
      <w:r w:rsidRPr="004358C6">
        <w:t>K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BTC</w:t>
      </w:r>
      <w:proofErr w:type="spellEnd"/>
      <w:r w:rsidRPr="004358C6">
        <w:t>) + (</w:t>
      </w:r>
      <w:proofErr w:type="spellStart"/>
      <w:r w:rsidRPr="004358C6">
        <w:t>П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ВС</w:t>
      </w:r>
      <w:proofErr w:type="spellEnd"/>
      <w:r w:rsidRPr="004358C6">
        <w:t xml:space="preserve"> х </w:t>
      </w:r>
      <w:proofErr w:type="spellStart"/>
      <w:r w:rsidRPr="004358C6">
        <w:t>Н</w:t>
      </w:r>
      <w:r w:rsidRPr="004358C6">
        <w:rPr>
          <w:vertAlign w:val="subscript"/>
        </w:rPr>
        <w:t>ср.</w:t>
      </w:r>
      <w:r w:rsidRPr="004358C6">
        <w:rPr>
          <w:vertAlign w:val="superscript"/>
        </w:rPr>
        <w:t>ВС</w:t>
      </w:r>
      <w:proofErr w:type="spellEnd"/>
      <w:r w:rsidRPr="004358C6">
        <w:t xml:space="preserve"> х </w:t>
      </w:r>
    </w:p>
    <w:p w:rsidR="00BF357E" w:rsidRPr="004358C6" w:rsidRDefault="004358C6">
      <w:pPr>
        <w:pStyle w:val="a8"/>
        <w:spacing w:beforeAutospacing="0" w:after="0" w:afterAutospacing="0"/>
        <w:jc w:val="center"/>
      </w:pPr>
      <w:r w:rsidRPr="004358C6">
        <w:t xml:space="preserve">х </w:t>
      </w:r>
      <w:proofErr w:type="spellStart"/>
      <w:r w:rsidRPr="004358C6">
        <w:t>K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BBC</w:t>
      </w:r>
      <w:proofErr w:type="spellEnd"/>
      <w:r w:rsidRPr="004358C6">
        <w:t>) + (</w:t>
      </w:r>
      <w:proofErr w:type="spellStart"/>
      <w:r w:rsidRPr="004358C6">
        <w:t>П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КС</w:t>
      </w:r>
      <w:proofErr w:type="spellEnd"/>
      <w:r w:rsidRPr="004358C6">
        <w:t xml:space="preserve"> х </w:t>
      </w:r>
      <w:proofErr w:type="spellStart"/>
      <w:r w:rsidRPr="004358C6">
        <w:t>Н</w:t>
      </w:r>
      <w:r w:rsidRPr="004358C6">
        <w:rPr>
          <w:vertAlign w:val="subscript"/>
        </w:rPr>
        <w:t>ср.</w:t>
      </w:r>
      <w:r w:rsidRPr="004358C6">
        <w:rPr>
          <w:vertAlign w:val="superscript"/>
        </w:rPr>
        <w:t>КС</w:t>
      </w:r>
      <w:proofErr w:type="spellEnd"/>
      <w:r w:rsidRPr="004358C6">
        <w:t xml:space="preserve"> х </w:t>
      </w:r>
      <w:proofErr w:type="spellStart"/>
      <w:r w:rsidRPr="004358C6">
        <w:t>K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BKC</w:t>
      </w:r>
      <w:proofErr w:type="spellEnd"/>
      <w:r w:rsidRPr="004358C6">
        <w:t>) + (</w:t>
      </w:r>
      <w:proofErr w:type="spellStart"/>
      <w:r w:rsidRPr="004358C6">
        <w:t>П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ЭС</w:t>
      </w:r>
      <w:proofErr w:type="spellEnd"/>
      <w:r w:rsidRPr="004358C6">
        <w:t xml:space="preserve"> х </w:t>
      </w:r>
      <w:proofErr w:type="spellStart"/>
      <w:r w:rsidRPr="004358C6">
        <w:t>Н</w:t>
      </w:r>
      <w:r w:rsidRPr="004358C6">
        <w:rPr>
          <w:vertAlign w:val="subscript"/>
        </w:rPr>
        <w:t>ср.</w:t>
      </w:r>
      <w:r w:rsidRPr="004358C6">
        <w:rPr>
          <w:vertAlign w:val="superscript"/>
        </w:rPr>
        <w:t>ЭС</w:t>
      </w:r>
      <w:proofErr w:type="spellEnd"/>
      <w:r w:rsidRPr="004358C6">
        <w:t xml:space="preserve"> </w:t>
      </w:r>
    </w:p>
    <w:p w:rsidR="00BF357E" w:rsidRDefault="004358C6">
      <w:pPr>
        <w:pStyle w:val="a8"/>
        <w:spacing w:beforeAutospacing="0" w:after="0" w:afterAutospacing="0"/>
        <w:jc w:val="center"/>
      </w:pPr>
      <w:r w:rsidRPr="004358C6">
        <w:t xml:space="preserve">х </w:t>
      </w:r>
      <w:proofErr w:type="spellStart"/>
      <w:r w:rsidRPr="004358C6">
        <w:t>К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МУН</w:t>
      </w:r>
      <w:proofErr w:type="spellEnd"/>
      <w:r w:rsidRPr="004358C6">
        <w:t xml:space="preserve">)) х </w:t>
      </w:r>
      <w:proofErr w:type="spellStart"/>
      <w:r w:rsidRPr="004358C6">
        <w:t>К</w:t>
      </w:r>
      <w:r w:rsidRPr="004358C6">
        <w:rPr>
          <w:vertAlign w:val="subscript"/>
        </w:rPr>
        <w:t>j</w:t>
      </w:r>
      <w:r w:rsidRPr="004358C6">
        <w:rPr>
          <w:vertAlign w:val="superscript"/>
        </w:rPr>
        <w:t>МУН</w:t>
      </w:r>
      <w:proofErr w:type="spellEnd"/>
      <w:r w:rsidRPr="004358C6">
        <w:t xml:space="preserve"> / </w:t>
      </w:r>
      <w:proofErr w:type="spellStart"/>
      <w:r w:rsidRPr="004358C6">
        <w:t>К</w:t>
      </w:r>
      <w:r w:rsidRPr="004358C6">
        <w:rPr>
          <w:vertAlign w:val="subscript"/>
        </w:rPr>
        <w:t>ср</w:t>
      </w:r>
      <w:proofErr w:type="spellEnd"/>
      <w:r w:rsidRPr="004358C6">
        <w:rPr>
          <w:vertAlign w:val="subscript"/>
        </w:rPr>
        <w:t>.</w:t>
      </w:r>
      <w:r w:rsidRPr="004358C6">
        <w:t xml:space="preserve"> х W</w:t>
      </w:r>
      <w:r w:rsidRPr="004358C6">
        <w:t>,</w:t>
      </w:r>
      <w:r>
        <w:t xml:space="preserve"> где: </w:t>
      </w:r>
    </w:p>
    <w:p w:rsidR="00BF357E" w:rsidRDefault="004358C6">
      <w:pPr>
        <w:pStyle w:val="a8"/>
        <w:spacing w:beforeAutospacing="0" w:after="0" w:afterAutospacing="0" w:line="288" w:lineRule="atLeast"/>
        <w:jc w:val="both"/>
      </w:pPr>
      <w:r>
        <w:t xml:space="preserve">  </w:t>
      </w:r>
    </w:p>
    <w:p w:rsidR="00BF357E" w:rsidRDefault="004358C6">
      <w:pPr>
        <w:pStyle w:val="a8"/>
        <w:spacing w:beforeAutospacing="0" w:after="0" w:afterAutospacing="0" w:line="288" w:lineRule="atLeast"/>
        <w:ind w:firstLine="540"/>
        <w:jc w:val="both"/>
      </w:pPr>
      <w:proofErr w:type="spellStart"/>
      <w:r>
        <w:t>П</w:t>
      </w:r>
      <w:r>
        <w:rPr>
          <w:vertAlign w:val="subscript"/>
        </w:rPr>
        <w:t>j</w:t>
      </w:r>
      <w:r>
        <w:rPr>
          <w:vertAlign w:val="superscript"/>
        </w:rPr>
        <w:t>ТС</w:t>
      </w:r>
      <w:proofErr w:type="spellEnd"/>
      <w:r>
        <w:t xml:space="preserve"> - протяженность тепловых сетей муниципальной собственности j-</w:t>
      </w:r>
      <w:proofErr w:type="spellStart"/>
      <w:r>
        <w:t>го</w:t>
      </w:r>
      <w:proofErr w:type="spellEnd"/>
      <w:r>
        <w:t xml:space="preserve"> муниципального образования, принимаемая по данным отчетного финансового года статистической отчетности 1-ЖКХ (зима срочная) "Сведения о подготовке жилищно-коммунального хозяйства к раб</w:t>
      </w:r>
      <w:r>
        <w:t xml:space="preserve">оте в зимних условиях" (далее - 1-ЖКХ);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Н</w:t>
      </w:r>
      <w:r>
        <w:rPr>
          <w:vertAlign w:val="subscript"/>
        </w:rPr>
        <w:t>ср.</w:t>
      </w:r>
      <w:r>
        <w:rPr>
          <w:vertAlign w:val="superscript"/>
        </w:rPr>
        <w:t>ТС</w:t>
      </w:r>
      <w:proofErr w:type="spellEnd"/>
      <w:r>
        <w:t xml:space="preserve"> - средний норматив стоимости замены 1 п. м тепловых сетей в Камчатском крае, принимаемый равным показателю стоимости замены 1 п. м в отчетном финансовом году с учетом индекса-дефлятора по экономической деятел</w:t>
      </w:r>
      <w:r>
        <w:t xml:space="preserve">ьности инвестиций в основной капитал очередного финансового года;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K</w:t>
      </w:r>
      <w:r>
        <w:rPr>
          <w:vertAlign w:val="subscript"/>
        </w:rPr>
        <w:t>j</w:t>
      </w:r>
      <w:proofErr w:type="spellEnd"/>
      <w:r>
        <w:rPr>
          <w:vertAlign w:val="subscript"/>
        </w:rPr>
        <w:t xml:space="preserve"> </w:t>
      </w:r>
      <w:r>
        <w:rPr>
          <w:vertAlign w:val="superscript"/>
        </w:rPr>
        <w:t>ВТС</w:t>
      </w:r>
      <w:r>
        <w:t xml:space="preserve"> - </w:t>
      </w:r>
      <w:r>
        <w:t>коэффициент нормативной замены ветхих сетей, принятый в размере 0,06, рекомендованном в Протоколе Министерства Российской Федерации по развитию Дальнего Востока от 29.08.2012 № ЮО-</w:t>
      </w:r>
      <w:r>
        <w:t>5</w:t>
      </w:r>
      <w:r>
        <w:t xml:space="preserve">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П</w:t>
      </w:r>
      <w:r>
        <w:rPr>
          <w:vertAlign w:val="subscript"/>
        </w:rPr>
        <w:t>j</w:t>
      </w:r>
      <w:r>
        <w:rPr>
          <w:vertAlign w:val="superscript"/>
        </w:rPr>
        <w:t>ВС</w:t>
      </w:r>
      <w:proofErr w:type="spellEnd"/>
      <w:r>
        <w:t xml:space="preserve"> - протяженность водопроводных сетей муниципальной собственности j-</w:t>
      </w:r>
      <w:proofErr w:type="spellStart"/>
      <w:r>
        <w:t>го</w:t>
      </w:r>
      <w:proofErr w:type="spellEnd"/>
      <w:r>
        <w:t xml:space="preserve"> муниципального образования, принимаемая по данным отчетного финансового года статистической отчетности 1-ЖКХ;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Н</w:t>
      </w:r>
      <w:r>
        <w:rPr>
          <w:vertAlign w:val="subscript"/>
        </w:rPr>
        <w:t>ср.</w:t>
      </w:r>
      <w:r>
        <w:rPr>
          <w:vertAlign w:val="superscript"/>
        </w:rPr>
        <w:t>ВС</w:t>
      </w:r>
      <w:proofErr w:type="spellEnd"/>
      <w:r>
        <w:t xml:space="preserve"> - средний норматив стоимости замены 1 п. м водопроводных сетей в Камчатском крае, принимаемый равным показателю стоимости замены 1 п. м в отчетном финансовом году с учетом индекса-дефлятора по экономической деятельности инвестиций в основной капитал очере</w:t>
      </w:r>
      <w:r>
        <w:t xml:space="preserve">дного финансового года;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rPr>
          <w:sz w:val="28"/>
        </w:rPr>
        <w:t>K</w:t>
      </w:r>
      <w:r>
        <w:rPr>
          <w:sz w:val="28"/>
          <w:vertAlign w:val="subscript"/>
        </w:rPr>
        <w:t>j</w:t>
      </w:r>
      <w:proofErr w:type="spellEnd"/>
      <w:r>
        <w:rPr>
          <w:sz w:val="28"/>
          <w:vertAlign w:val="subscript"/>
        </w:rPr>
        <w:t xml:space="preserve"> </w:t>
      </w:r>
      <w:r>
        <w:rPr>
          <w:sz w:val="28"/>
          <w:vertAlign w:val="superscript"/>
        </w:rPr>
        <w:t>ВВС</w:t>
      </w:r>
      <w:r>
        <w:rPr>
          <w:sz w:val="28"/>
        </w:rPr>
        <w:t xml:space="preserve"> - </w:t>
      </w:r>
      <w:r>
        <w:t>ко</w:t>
      </w:r>
      <w:r>
        <w:t>эффициент нормативной замены ветхих сетей, принятый в размере 0,06, рекомендованном в Протоколе Министерства Российской Федерации по развитию Дальнего Востока от 29.08.2012 № ЮО-5</w:t>
      </w:r>
      <w:r>
        <w:t xml:space="preserve">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П</w:t>
      </w:r>
      <w:r>
        <w:rPr>
          <w:vertAlign w:val="subscript"/>
        </w:rPr>
        <w:t>j</w:t>
      </w:r>
      <w:r>
        <w:rPr>
          <w:vertAlign w:val="superscript"/>
        </w:rPr>
        <w:t>КС</w:t>
      </w:r>
      <w:proofErr w:type="spellEnd"/>
      <w:r>
        <w:t xml:space="preserve"> - протяженность канализационных с</w:t>
      </w:r>
      <w:r>
        <w:t>етей муниципальной собственности j-</w:t>
      </w:r>
      <w:proofErr w:type="spellStart"/>
      <w:r>
        <w:t>го</w:t>
      </w:r>
      <w:proofErr w:type="spellEnd"/>
      <w:r>
        <w:t xml:space="preserve"> муниципального образования, принимаемая по данным отчетного финансового года статистической отчетности 1-ЖКХ;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lastRenderedPageBreak/>
        <w:t>Н</w:t>
      </w:r>
      <w:r>
        <w:rPr>
          <w:vertAlign w:val="subscript"/>
        </w:rPr>
        <w:t>ср.</w:t>
      </w:r>
      <w:r>
        <w:rPr>
          <w:vertAlign w:val="superscript"/>
        </w:rPr>
        <w:t>КС</w:t>
      </w:r>
      <w:proofErr w:type="spellEnd"/>
      <w:r>
        <w:t xml:space="preserve"> - средний норматив стоимости замены 1 п. м канализационных сетей в Камчатском крае, принимаемый равным показателю стоимости замены 1 п. м в отчетном финансовом году с учетом, индекса-дефлятора по экономической деятельности инвестиций в основной капитал оч</w:t>
      </w:r>
      <w:r>
        <w:t xml:space="preserve">ередного финансового года; </w:t>
      </w:r>
    </w:p>
    <w:p w:rsidR="004358C6" w:rsidRDefault="004358C6" w:rsidP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K</w:t>
      </w:r>
      <w:r>
        <w:rPr>
          <w:vertAlign w:val="subscript"/>
        </w:rPr>
        <w:t>j</w:t>
      </w:r>
      <w:proofErr w:type="spellEnd"/>
      <w:r>
        <w:rPr>
          <w:vertAlign w:val="subscript"/>
        </w:rPr>
        <w:t xml:space="preserve"> </w:t>
      </w:r>
      <w:r>
        <w:rPr>
          <w:vertAlign w:val="superscript"/>
        </w:rPr>
        <w:t>В</w:t>
      </w:r>
      <w:r>
        <w:rPr>
          <w:vertAlign w:val="superscript"/>
          <w:lang w:val="en-US"/>
        </w:rPr>
        <w:t>K</w:t>
      </w:r>
      <w:r>
        <w:rPr>
          <w:vertAlign w:val="superscript"/>
        </w:rPr>
        <w:t>С</w:t>
      </w:r>
      <w:r>
        <w:t xml:space="preserve"> - коэффициент нормативной замены ветхих сетей, принятый в размере 0,06, рекомендованном в Протоколе Министерства Российской Федерации по развитию Дальнего Востока от 29.08.2012 № ЮО-5;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П</w:t>
      </w:r>
      <w:r>
        <w:rPr>
          <w:vertAlign w:val="subscript"/>
        </w:rPr>
        <w:t>j</w:t>
      </w:r>
      <w:r>
        <w:rPr>
          <w:vertAlign w:val="superscript"/>
        </w:rPr>
        <w:t>ЭС</w:t>
      </w:r>
      <w:proofErr w:type="spellEnd"/>
      <w:r>
        <w:t xml:space="preserve"> - протяженность электрических </w:t>
      </w:r>
      <w:r>
        <w:t>с</w:t>
      </w:r>
      <w:r>
        <w:t>етей муниципальной собственности j-</w:t>
      </w:r>
      <w:proofErr w:type="spellStart"/>
      <w:r>
        <w:t>го</w:t>
      </w:r>
      <w:proofErr w:type="spellEnd"/>
      <w:r>
        <w:t xml:space="preserve"> муниципального образования (без учета сетей уличного освещения), принимаемая по данным топливно-энергетического паспорта (электроэнергетика) муниципального образования и представленной информации муниципальных образова</w:t>
      </w:r>
      <w:r>
        <w:t xml:space="preserve">ний;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Н</w:t>
      </w:r>
      <w:r>
        <w:rPr>
          <w:vertAlign w:val="subscript"/>
        </w:rPr>
        <w:t>ср.</w:t>
      </w:r>
      <w:r>
        <w:rPr>
          <w:vertAlign w:val="superscript"/>
        </w:rPr>
        <w:t>ЭС</w:t>
      </w:r>
      <w:proofErr w:type="spellEnd"/>
      <w:r>
        <w:t xml:space="preserve"> - средний норматив стоимости замены 1 п. м электрических сетей в Камчатском крае, принимаемый равным показателю стоимости замены 1 п. м в отчетном финансовом году с учетом индекса-дефлятора по экономической деятельности инвестиций в основной к</w:t>
      </w:r>
      <w:r>
        <w:t xml:space="preserve">апитал очередного финансового года; </w:t>
      </w:r>
    </w:p>
    <w:p w:rsidR="004358C6" w:rsidRDefault="004358C6" w:rsidP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K</w:t>
      </w:r>
      <w:r>
        <w:rPr>
          <w:vertAlign w:val="subscript"/>
        </w:rPr>
        <w:t>j</w:t>
      </w:r>
      <w:proofErr w:type="spellEnd"/>
      <w:r>
        <w:rPr>
          <w:vertAlign w:val="subscript"/>
        </w:rPr>
        <w:t xml:space="preserve"> </w:t>
      </w:r>
      <w:r>
        <w:rPr>
          <w:vertAlign w:val="superscript"/>
        </w:rPr>
        <w:t>Э</w:t>
      </w:r>
      <w:r>
        <w:rPr>
          <w:vertAlign w:val="superscript"/>
        </w:rPr>
        <w:t>С</w:t>
      </w:r>
      <w:r>
        <w:t xml:space="preserve"> - коэффициент нормативной замены ветхих сетей, принятый в размере 0,06, рекомендованном в Протоколе Министерства Российской Федерации по развитию Дальнего Востока от 29.08.2012 № ЮО-5;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K</w:t>
      </w:r>
      <w:r>
        <w:rPr>
          <w:vertAlign w:val="subscript"/>
        </w:rPr>
        <w:t>j</w:t>
      </w:r>
      <w:r>
        <w:rPr>
          <w:vertAlign w:val="superscript"/>
        </w:rPr>
        <w:t>МУН</w:t>
      </w:r>
      <w:proofErr w:type="spellEnd"/>
      <w:r>
        <w:t xml:space="preserve"> - муниципальный коэффи</w:t>
      </w:r>
      <w:r>
        <w:t>циент j-</w:t>
      </w:r>
      <w:proofErr w:type="spellStart"/>
      <w:r>
        <w:t>го</w:t>
      </w:r>
      <w:proofErr w:type="spellEnd"/>
      <w:r>
        <w:t xml:space="preserve"> муниципального образования, принимаемый в соответствии с распоряжением Правительства Камчатского края, утвержденным на день формирования краевого бюджета на очередной финансовый год; </w:t>
      </w:r>
    </w:p>
    <w:p w:rsidR="00BF357E" w:rsidRDefault="004358C6">
      <w:pPr>
        <w:pStyle w:val="a8"/>
        <w:spacing w:before="168" w:beforeAutospacing="0" w:after="0" w:afterAutospacing="0" w:line="288" w:lineRule="atLeast"/>
        <w:ind w:firstLine="540"/>
        <w:jc w:val="both"/>
      </w:pPr>
      <w:proofErr w:type="spellStart"/>
      <w:r>
        <w:t>К</w:t>
      </w:r>
      <w:r>
        <w:rPr>
          <w:vertAlign w:val="subscript"/>
        </w:rPr>
        <w:t>ср</w:t>
      </w:r>
      <w:proofErr w:type="spellEnd"/>
      <w:r>
        <w:rPr>
          <w:vertAlign w:val="subscript"/>
        </w:rPr>
        <w:t>.</w:t>
      </w:r>
      <w:r>
        <w:t xml:space="preserve"> - средний показатель муниципального коэффициента по муни</w:t>
      </w:r>
      <w:r>
        <w:t xml:space="preserve">ципальным образованиям; </w:t>
      </w:r>
      <w:bookmarkStart w:id="0" w:name="_GoBack"/>
      <w:bookmarkEnd w:id="0"/>
    </w:p>
    <w:p w:rsidR="004358C6" w:rsidRDefault="004358C6" w:rsidP="004358C6">
      <w:pPr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Камчатском крае по замене ветхих сетей тепло-, водо-, электроснабжения и водоотведения, рассчитанная в соответствии с Порядком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 местным бюджетам на проведение ремонта ветхих и аварийных сетей, утвержденным постановлением Правительства Камчатского края от 23.01.2024 № 17-П «Об утверждении государственной программы Камчатского края «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Энергоэффективность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развитие энергетики и коммунального хозяйства, обеспечение жителей населенных пунктов Камчатского края коммунальными услугами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358C6" w:rsidRDefault="004358C6" w:rsidP="004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8C6" w:rsidRDefault="004358C6" w:rsidP="00435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образования,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за счет средств краевого бюджета составляет:</w:t>
      </w:r>
    </w:p>
    <w:p w:rsidR="004358C6" w:rsidRDefault="004358C6" w:rsidP="00435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98 процентов общего объема расходного обязательства муниципального образования, с численностью населения более 2,0 тыс. человек;</w:t>
      </w:r>
    </w:p>
    <w:p w:rsidR="004358C6" w:rsidRDefault="004358C6" w:rsidP="00435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4358C6" w:rsidRDefault="004358C6" w:rsidP="00435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98 процентов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BF357E" w:rsidRDefault="00BF357E">
      <w:pPr>
        <w:rPr>
          <w:rFonts w:ascii="Times New Roman" w:hAnsi="Times New Roman" w:cs="Times New Roman"/>
          <w:sz w:val="24"/>
          <w:szCs w:val="24"/>
        </w:rPr>
      </w:pPr>
    </w:p>
    <w:sectPr w:rsidR="00BF357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7E"/>
    <w:rsid w:val="004358C6"/>
    <w:rsid w:val="006D0DAE"/>
    <w:rsid w:val="00B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C0B1"/>
  <w15:docId w15:val="{F2B19E05-53EB-4809-87BD-E20E1860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Times New Roman" w:hAnsi="Times New Roman"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a7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ConsPlusNormal">
    <w:name w:val="ConsPlusNormal"/>
    <w:qFormat/>
    <w:rsid w:val="007B52CC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qFormat/>
    <w:rsid w:val="007B52CC"/>
    <w:pPr>
      <w:widowControl w:val="0"/>
    </w:pPr>
    <w:rPr>
      <w:rFonts w:ascii="Arial" w:eastAsiaTheme="minorEastAsia" w:hAnsi="Arial" w:cs="Arial"/>
      <w:b/>
      <w:sz w:val="20"/>
      <w:lang w:eastAsia="ru-RU"/>
    </w:rPr>
  </w:style>
  <w:style w:type="paragraph" w:styleId="a8">
    <w:name w:val="Normal (Web)"/>
    <w:basedOn w:val="a"/>
    <w:uiPriority w:val="99"/>
    <w:semiHidden/>
    <w:unhideWhenUsed/>
    <w:qFormat/>
    <w:rsid w:val="0032736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423A-9169-43A3-9AD3-083ED45D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dc:description/>
  <cp:lastModifiedBy>Семенкова Мария Александровна</cp:lastModifiedBy>
  <cp:revision>16</cp:revision>
  <dcterms:created xsi:type="dcterms:W3CDTF">2022-09-05T03:29:00Z</dcterms:created>
  <dcterms:modified xsi:type="dcterms:W3CDTF">2024-10-24T03:21:00Z</dcterms:modified>
  <dc:language>ru-RU</dc:language>
</cp:coreProperties>
</file>