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68C" w:rsidRPr="002B1487" w:rsidRDefault="00A604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0"/>
      <w:bookmarkStart w:id="1" w:name="_GoBack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>6.</w:t>
      </w:r>
      <w:r w:rsidR="00E92BFF">
        <w:rPr>
          <w:rFonts w:ascii="Times New Roman" w:hAnsi="Times New Roman" w:cs="Times New Roman"/>
          <w:sz w:val="24"/>
          <w:szCs w:val="24"/>
        </w:rPr>
        <w:t>4</w:t>
      </w:r>
      <w:r w:rsidR="00B80C05" w:rsidRPr="002B1487">
        <w:rPr>
          <w:rFonts w:ascii="Times New Roman" w:hAnsi="Times New Roman" w:cs="Times New Roman"/>
          <w:sz w:val="24"/>
          <w:szCs w:val="24"/>
        </w:rPr>
        <w:t>.2.</w:t>
      </w:r>
      <w:r w:rsidR="002B1487" w:rsidRPr="002B1487">
        <w:rPr>
          <w:rFonts w:ascii="Times New Roman" w:hAnsi="Times New Roman" w:cs="Times New Roman"/>
          <w:sz w:val="24"/>
          <w:szCs w:val="24"/>
        </w:rPr>
        <w:t>8</w:t>
      </w:r>
      <w:r w:rsidR="00B80C05" w:rsidRPr="002B1487">
        <w:rPr>
          <w:rFonts w:ascii="Times New Roman" w:hAnsi="Times New Roman" w:cs="Times New Roman"/>
          <w:sz w:val="24"/>
          <w:szCs w:val="24"/>
        </w:rPr>
        <w:t xml:space="preserve">. </w:t>
      </w:r>
      <w:r w:rsidR="0041168C" w:rsidRPr="002B1487">
        <w:rPr>
          <w:rFonts w:ascii="Times New Roman" w:hAnsi="Times New Roman" w:cs="Times New Roman"/>
          <w:sz w:val="24"/>
          <w:szCs w:val="24"/>
        </w:rPr>
        <w:t>МЕТОДИКА</w:t>
      </w:r>
    </w:p>
    <w:p w:rsidR="0041168C" w:rsidRPr="002B1487" w:rsidRDefault="004116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1487">
        <w:rPr>
          <w:rFonts w:ascii="Times New Roman" w:hAnsi="Times New Roman" w:cs="Times New Roman"/>
          <w:sz w:val="24"/>
          <w:szCs w:val="24"/>
        </w:rPr>
        <w:t>ОПРЕДЕЛЕНИЯ ОБЩЕГО ОБЪЕМА СУБВЕНЦИЙ,</w:t>
      </w:r>
    </w:p>
    <w:p w:rsidR="0041168C" w:rsidRPr="002B1487" w:rsidRDefault="004116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1487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41168C" w:rsidRPr="002B1487" w:rsidRDefault="0041168C" w:rsidP="002B14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1487">
        <w:rPr>
          <w:rFonts w:ascii="Times New Roman" w:hAnsi="Times New Roman" w:cs="Times New Roman"/>
          <w:sz w:val="24"/>
          <w:szCs w:val="24"/>
        </w:rPr>
        <w:t>ДЛЯ ОСУЩЕСТВЛЕ</w:t>
      </w:r>
      <w:r w:rsidR="002B1487">
        <w:rPr>
          <w:rFonts w:ascii="Times New Roman" w:hAnsi="Times New Roman" w:cs="Times New Roman"/>
          <w:sz w:val="24"/>
          <w:szCs w:val="24"/>
        </w:rPr>
        <w:t xml:space="preserve">НИЯ ГОСУДАРСТВЕННОГО ПОЛНОМОЧИЯ </w:t>
      </w:r>
      <w:r w:rsidRPr="002B1487">
        <w:rPr>
          <w:rFonts w:ascii="Times New Roman" w:hAnsi="Times New Roman" w:cs="Times New Roman"/>
          <w:sz w:val="24"/>
          <w:szCs w:val="24"/>
        </w:rPr>
        <w:t>КАМЧАТСКОГО</w:t>
      </w:r>
      <w:r w:rsidR="002B1487">
        <w:rPr>
          <w:rFonts w:ascii="Times New Roman" w:hAnsi="Times New Roman" w:cs="Times New Roman"/>
          <w:sz w:val="24"/>
          <w:szCs w:val="24"/>
        </w:rPr>
        <w:t xml:space="preserve"> </w:t>
      </w:r>
      <w:r w:rsidRPr="002B1487">
        <w:rPr>
          <w:rFonts w:ascii="Times New Roman" w:hAnsi="Times New Roman" w:cs="Times New Roman"/>
          <w:sz w:val="24"/>
          <w:szCs w:val="24"/>
        </w:rPr>
        <w:t>КРАЯ ПО ОКАЗАНИЮ ГОСУДАРСТВЕННОЙ СОЦИАЛЬНОЙ ПОМОЩИ НА</w:t>
      </w:r>
      <w:r w:rsidR="002B1487">
        <w:rPr>
          <w:rFonts w:ascii="Times New Roman" w:hAnsi="Times New Roman" w:cs="Times New Roman"/>
          <w:sz w:val="24"/>
          <w:szCs w:val="24"/>
        </w:rPr>
        <w:t xml:space="preserve"> </w:t>
      </w:r>
      <w:r w:rsidRPr="002B1487">
        <w:rPr>
          <w:rFonts w:ascii="Times New Roman" w:hAnsi="Times New Roman" w:cs="Times New Roman"/>
          <w:sz w:val="24"/>
          <w:szCs w:val="24"/>
        </w:rPr>
        <w:t>ОСНОВАНИИ СОЦИАЛЬНОГО КОНТРАКТА МАЛОИМУЩИМ ГРАЖДАНАМ</w:t>
      </w:r>
    </w:p>
    <w:p w:rsidR="0041168C" w:rsidRPr="0041168C" w:rsidRDefault="0041168C" w:rsidP="00B80C05">
      <w:pPr>
        <w:pStyle w:val="ConsPlusNormal"/>
        <w:spacing w:line="360" w:lineRule="auto"/>
        <w:jc w:val="center"/>
        <w:rPr>
          <w:rFonts w:ascii="Times New Roman" w:hAnsi="Times New Roman" w:cs="Times New Roman"/>
        </w:rPr>
      </w:pP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государственного полномочия Камчатского края по оказанию государственной социальной помощи на основании социального контракта малоимущим гражданам (далее - государственное полномочие), определяется путем суммирования размеров субвенций, исчисленных в соответствии с </w:t>
      </w:r>
      <w:hyperlink w:anchor="P175">
        <w:r w:rsidRPr="0041168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государственным полномочием, по формуле: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 w:rsidP="001F7A2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= SUM 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государственного полномочия на очередной финансовый год;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год.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75"/>
      <w:bookmarkEnd w:id="2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год, определяется по формуле: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 w:rsidP="001F7A2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(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ср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х 1,015 + 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 Б * 1,2, где</w:t>
      </w:r>
    </w:p>
    <w:p w:rsidR="0041168C" w:rsidRPr="0041168C" w:rsidRDefault="0041168C" w:rsidP="001F7A2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ср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средний размер государственной социальной помощи по социальному контракту (по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населения);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прогнозируемая на очередной финансовый год численность получателей государственной социальной помощи по социальному контракту в j-том муниципальном образовании (по данным органов местного самоуправления j-того муниципального образования);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1,015 - коэффициент, учитывающий расходы, связанные с оплатой услуг организаций, осуществляющих переводы денежных средств получателям государственной социальной помощи по социальному контракту;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нормативное количество штатных единиц специалистов, осуществляющих государственное полномочие, в j-том муниципальном образовании на очередной финансовый год, из расчета: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до 1,5 тысяч человек - 0,5 штатных единиц;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муниципальных образованиях с численностью населения от 1,5 до 4 тысяч человек - 1 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штатная единица;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4 до 6 тысяч человек - 2 штатные единицы;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6 до 9 тысяч человек - 3 штатные единицы;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9 до 70 тысяч человек - 4 штатные единицы;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70 до 100 тысяч человек - 5 штатных единиц;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свыше 100 тысяч человек - 6 штатных единиц;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Б - годовой норматив расходов на осуществление государственного полномочия в части заработной платы и начислений на выплаты по оплате труда специалистов, осуществляющих государственное полномочие, в расчете на одного специалиста, устанавливаемый законом Камчатского края о краевом бюджете;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1,2 - коэффициент, учитывающий прочие расходы на осуществлен</w:t>
      </w:r>
      <w:r w:rsidR="001F7A2E">
        <w:rPr>
          <w:rFonts w:ascii="Times New Roman" w:hAnsi="Times New Roman" w:cs="Times New Roman"/>
          <w:color w:val="000000" w:themeColor="text1"/>
          <w:sz w:val="24"/>
          <w:szCs w:val="24"/>
        </w:rPr>
        <w:t>ие государственного полномочия.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41168C" w:rsidRPr="0041168C" w:rsidSect="00A604CD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68C"/>
    <w:rsid w:val="001F7A2E"/>
    <w:rsid w:val="002B1487"/>
    <w:rsid w:val="0041168C"/>
    <w:rsid w:val="004D38F2"/>
    <w:rsid w:val="00571B17"/>
    <w:rsid w:val="00A604CD"/>
    <w:rsid w:val="00B80C05"/>
    <w:rsid w:val="00E9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7EFFC"/>
  <w15:chartTrackingRefBased/>
  <w15:docId w15:val="{0DC5DF41-0416-4F95-81C3-4A3B33C4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6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116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116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7</cp:revision>
  <dcterms:created xsi:type="dcterms:W3CDTF">2023-09-04T23:45:00Z</dcterms:created>
  <dcterms:modified xsi:type="dcterms:W3CDTF">2024-10-17T02:00:00Z</dcterms:modified>
</cp:coreProperties>
</file>