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0C4" w:rsidRPr="00201D40" w:rsidRDefault="000940C4">
      <w:pPr>
        <w:jc w:val="center"/>
        <w:rPr>
          <w:sz w:val="20"/>
          <w:lang w:val="en-US"/>
        </w:rPr>
      </w:pPr>
    </w:p>
    <w:p w:rsidR="000940C4" w:rsidRDefault="00F077A5">
      <w:pPr>
        <w:spacing w:line="276" w:lineRule="auto"/>
        <w:jc w:val="center"/>
        <w:rPr>
          <w:rFonts w:eastAsia="Calibri" w:cs="Times New Roman"/>
          <w:b/>
          <w:color w:val="auto"/>
          <w:szCs w:val="28"/>
          <w:lang w:eastAsia="en-US" w:bidi="ar-SA"/>
        </w:rPr>
      </w:pPr>
      <w:r>
        <w:rPr>
          <w:rFonts w:eastAsia="Calibri" w:cs="Times New Roman"/>
          <w:b/>
          <w:color w:val="auto"/>
          <w:szCs w:val="28"/>
          <w:lang w:eastAsia="en-US" w:bidi="ar-SA"/>
        </w:rPr>
        <w:t>Расчет прогнозных показателей поступлений в краевой бюджет на 2025 год и плановый период 2026-2027 годов</w:t>
      </w:r>
    </w:p>
    <w:p w:rsidR="000940C4" w:rsidRDefault="000940C4">
      <w:pPr>
        <w:widowControl w:val="0"/>
        <w:spacing w:line="276" w:lineRule="auto"/>
        <w:jc w:val="center"/>
        <w:rPr>
          <w:rFonts w:eastAsia="Calibri" w:cs="Times New Roman"/>
          <w:color w:val="auto"/>
          <w:szCs w:val="28"/>
          <w:lang w:eastAsia="en-US" w:bidi="ar-SA"/>
        </w:rPr>
      </w:pP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Расчет произведен в соответствии с методикой прогнозирования поступления доходов в бюджеты бюджетной системы Российской Федерации, главным администратором которых является Министерство природных ресурсов и экологии Камчатского края, утвержденной приказом Министерства от 21.07.2022 № 219-П.</w:t>
      </w:r>
    </w:p>
    <w:p w:rsidR="000940C4" w:rsidRDefault="00F077A5">
      <w:pPr>
        <w:widowControl w:val="0"/>
        <w:shd w:val="clear" w:color="auto" w:fill="FFFFFF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b/>
          <w:szCs w:val="28"/>
          <w:shd w:val="clear" w:color="auto" w:fill="FFFFFF"/>
          <w:lang w:eastAsia="en-US" w:bidi="ar-SA"/>
        </w:rPr>
        <w:t>1.</w:t>
      </w:r>
      <w:r>
        <w:rPr>
          <w:rFonts w:eastAsia="Calibri" w:cs="Times New Roman"/>
          <w:szCs w:val="28"/>
          <w:shd w:val="clear" w:color="auto" w:fill="FFFFFF"/>
          <w:lang w:eastAsia="en-US" w:bidi="ar-SA"/>
        </w:rPr>
        <w:t xml:space="preserve"> </w:t>
      </w:r>
      <w:r>
        <w:rPr>
          <w:rFonts w:eastAsia="Calibri" w:cs="Times New Roman"/>
          <w:b/>
          <w:szCs w:val="28"/>
          <w:shd w:val="clear" w:color="auto" w:fill="FFFFFF"/>
          <w:lang w:eastAsia="en-US" w:bidi="ar-SA"/>
        </w:rPr>
        <w:t>КБК 808 108 07082 01 1000 110</w:t>
      </w:r>
      <w:r>
        <w:rPr>
          <w:rFonts w:eastAsia="Calibri" w:cs="Times New Roman"/>
          <w:szCs w:val="28"/>
          <w:shd w:val="clear" w:color="auto" w:fill="FFFFFF"/>
          <w:lang w:eastAsia="en-US" w:bidi="ar-SA"/>
        </w:rPr>
        <w:t xml:space="preserve"> «Государственная пошлина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отмененному))».  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Метод расчета – усреднение.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Формула расчета: П=Σ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vertAlign w:val="subscript"/>
          <w:lang w:eastAsia="en-US" w:bidi="ar-SA"/>
        </w:rPr>
        <w:t>=1</w:t>
      </w:r>
      <w:r>
        <w:rPr>
          <w:rFonts w:eastAsia="Calibri" w:cs="Times New Roman"/>
          <w:color w:val="auto"/>
          <w:szCs w:val="28"/>
          <w:vertAlign w:val="superscript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vertAlign w:val="superscript"/>
          <w:lang w:eastAsia="en-US" w:bidi="ar-SA"/>
        </w:rPr>
        <w:t xml:space="preserve"> </w:t>
      </w:r>
      <w:r>
        <w:rPr>
          <w:rFonts w:eastAsia="Calibri" w:cs="Times New Roman"/>
          <w:color w:val="auto"/>
          <w:szCs w:val="28"/>
          <w:lang w:eastAsia="en-US" w:bidi="ar-SA"/>
        </w:rPr>
        <w:t>Ф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lang w:eastAsia="en-US" w:bidi="ar-SA"/>
        </w:rPr>
        <w:t>/</w:t>
      </w:r>
      <w:r>
        <w:rPr>
          <w:rFonts w:eastAsia="Calibri" w:cs="Times New Roman"/>
          <w:color w:val="auto"/>
          <w:szCs w:val="28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, 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где П – прогнозируемый объем поступлений по доходу;</w:t>
      </w:r>
    </w:p>
    <w:p w:rsidR="000940C4" w:rsidRDefault="00F077A5">
      <w:pPr>
        <w:widowControl w:val="0"/>
        <w:spacing w:line="276" w:lineRule="auto"/>
        <w:ind w:firstLine="1134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 – фактически поступившие доходы в i-м году;</w:t>
      </w:r>
    </w:p>
    <w:p w:rsidR="000940C4" w:rsidRDefault="00F077A5">
      <w:pPr>
        <w:widowControl w:val="0"/>
        <w:spacing w:line="276" w:lineRule="auto"/>
        <w:ind w:firstLine="1134"/>
        <w:jc w:val="both"/>
      </w:pPr>
      <w:r>
        <w:rPr>
          <w:rFonts w:eastAsia="Calibri" w:cs="Times New Roman"/>
          <w:color w:val="auto"/>
          <w:szCs w:val="28"/>
          <w:lang w:eastAsia="en-US" w:bidi="ar-SA"/>
        </w:rPr>
        <w:t>n – фактическое число лет в выбранном периоде усреднения.</w:t>
      </w:r>
    </w:p>
    <w:tbl>
      <w:tblPr>
        <w:tblStyle w:val="113"/>
        <w:tblW w:w="9634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358"/>
        <w:gridCol w:w="5276"/>
      </w:tblGrid>
      <w:tr w:rsidR="000940C4">
        <w:trPr>
          <w:trHeight w:val="272"/>
        </w:trPr>
        <w:tc>
          <w:tcPr>
            <w:tcW w:w="4358" w:type="dxa"/>
            <w:vMerge w:val="restart"/>
          </w:tcPr>
          <w:p w:rsidR="000940C4" w:rsidRDefault="00F077A5">
            <w:pPr>
              <w:widowControl w:val="0"/>
              <w:spacing w:line="276" w:lineRule="auto"/>
              <w:ind w:left="-108"/>
              <w:jc w:val="both"/>
            </w:pPr>
            <w:r>
              <w:rPr>
                <w:szCs w:val="28"/>
              </w:rPr>
              <w:t>Фактически поступившие доходы:</w:t>
            </w:r>
          </w:p>
        </w:tc>
        <w:tc>
          <w:tcPr>
            <w:tcW w:w="5275" w:type="dxa"/>
          </w:tcPr>
          <w:p w:rsidR="000940C4" w:rsidRDefault="00F077A5">
            <w:pPr>
              <w:widowControl w:val="0"/>
              <w:ind w:left="-102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2021 год – 223 500,00 рублей;</w:t>
            </w:r>
          </w:p>
        </w:tc>
      </w:tr>
      <w:tr w:rsidR="000940C4">
        <w:tc>
          <w:tcPr>
            <w:tcW w:w="4358" w:type="dxa"/>
            <w:vMerge/>
            <w:vAlign w:val="center"/>
          </w:tcPr>
          <w:p w:rsidR="000940C4" w:rsidRDefault="000940C4">
            <w:pPr>
              <w:spacing w:after="160" w:line="259" w:lineRule="auto"/>
              <w:rPr>
                <w:szCs w:val="28"/>
              </w:rPr>
            </w:pPr>
          </w:p>
        </w:tc>
        <w:tc>
          <w:tcPr>
            <w:tcW w:w="5275" w:type="dxa"/>
          </w:tcPr>
          <w:p w:rsidR="000940C4" w:rsidRDefault="00F077A5">
            <w:pPr>
              <w:widowControl w:val="0"/>
              <w:suppressAutoHyphens w:val="0"/>
              <w:ind w:left="-102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2022 год – 368 250,00 рублей;</w:t>
            </w:r>
          </w:p>
        </w:tc>
      </w:tr>
      <w:tr w:rsidR="000940C4">
        <w:tc>
          <w:tcPr>
            <w:tcW w:w="4358" w:type="dxa"/>
            <w:vMerge/>
            <w:vAlign w:val="center"/>
          </w:tcPr>
          <w:p w:rsidR="000940C4" w:rsidRDefault="000940C4">
            <w:pPr>
              <w:suppressAutoHyphens w:val="0"/>
              <w:spacing w:after="160" w:line="259" w:lineRule="auto"/>
              <w:rPr>
                <w:szCs w:val="28"/>
              </w:rPr>
            </w:pPr>
          </w:p>
        </w:tc>
        <w:tc>
          <w:tcPr>
            <w:tcW w:w="5275" w:type="dxa"/>
          </w:tcPr>
          <w:p w:rsidR="000940C4" w:rsidRDefault="00F077A5">
            <w:pPr>
              <w:widowControl w:val="0"/>
              <w:suppressAutoHyphens w:val="0"/>
              <w:ind w:left="-102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2023 год — 251 250,00 рублей.</w:t>
            </w:r>
          </w:p>
        </w:tc>
      </w:tr>
    </w:tbl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pacing w:val="-4"/>
          <w:szCs w:val="28"/>
          <w:lang w:eastAsia="en-US" w:bidi="ar-SA"/>
        </w:rPr>
      </w:pPr>
      <w:r>
        <w:rPr>
          <w:rFonts w:eastAsia="Calibri" w:cs="Times New Roman"/>
          <w:color w:val="auto"/>
          <w:spacing w:val="-4"/>
          <w:szCs w:val="28"/>
          <w:lang w:eastAsia="en-US" w:bidi="ar-SA"/>
        </w:rPr>
        <w:t>П = (251 250,00 +223 500,00+368 250,00) / 3 = 281 000,00 (рублей).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vanish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Таким образом, прогноз поступлений на 2025-2027 годы составляет 281 000,00 рублей.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 xml:space="preserve"> </w:t>
      </w:r>
    </w:p>
    <w:p w:rsidR="000940C4" w:rsidRDefault="00F077A5">
      <w:pPr>
        <w:widowControl w:val="0"/>
        <w:shd w:val="clear" w:color="auto" w:fill="FFFFFF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b/>
          <w:szCs w:val="28"/>
          <w:shd w:val="clear" w:color="auto" w:fill="FFFFFF"/>
          <w:lang w:eastAsia="en-US" w:bidi="ar-SA"/>
        </w:rPr>
        <w:t>2.</w:t>
      </w:r>
      <w:r>
        <w:rPr>
          <w:rFonts w:eastAsia="Calibri" w:cs="Times New Roman"/>
          <w:szCs w:val="28"/>
          <w:shd w:val="clear" w:color="auto" w:fill="FFFFFF"/>
          <w:lang w:eastAsia="en-US" w:bidi="ar-SA"/>
        </w:rPr>
        <w:t xml:space="preserve"> </w:t>
      </w:r>
      <w:r>
        <w:rPr>
          <w:rFonts w:eastAsia="Calibri" w:cs="Times New Roman"/>
          <w:b/>
          <w:color w:val="auto"/>
          <w:szCs w:val="28"/>
          <w:lang w:eastAsia="en-US" w:bidi="ar-SA"/>
        </w:rPr>
        <w:t>КБК 808 112 02012 01 0000 120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 «Разовые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значения».</w:t>
      </w:r>
    </w:p>
    <w:p w:rsidR="000940C4" w:rsidRDefault="00F077A5">
      <w:pPr>
        <w:widowControl w:val="0"/>
        <w:shd w:val="clear" w:color="auto" w:fill="FFFFFF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Метод расчета – усреднение.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Формула расчета: П=Σ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vertAlign w:val="subscript"/>
          <w:lang w:eastAsia="en-US" w:bidi="ar-SA"/>
        </w:rPr>
        <w:t>=1</w:t>
      </w:r>
      <w:r>
        <w:rPr>
          <w:rFonts w:eastAsia="Calibri" w:cs="Times New Roman"/>
          <w:color w:val="auto"/>
          <w:szCs w:val="28"/>
          <w:vertAlign w:val="superscript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vertAlign w:val="superscript"/>
          <w:lang w:eastAsia="en-US" w:bidi="ar-SA"/>
        </w:rPr>
        <w:t xml:space="preserve"> </w:t>
      </w:r>
      <w:r>
        <w:rPr>
          <w:rFonts w:eastAsia="Calibri" w:cs="Times New Roman"/>
          <w:color w:val="auto"/>
          <w:szCs w:val="28"/>
          <w:lang w:eastAsia="en-US" w:bidi="ar-SA"/>
        </w:rPr>
        <w:t>Ф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lang w:eastAsia="en-US" w:bidi="ar-SA"/>
        </w:rPr>
        <w:t>/</w:t>
      </w:r>
      <w:r>
        <w:rPr>
          <w:rFonts w:eastAsia="Calibri" w:cs="Times New Roman"/>
          <w:color w:val="auto"/>
          <w:szCs w:val="28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, 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где П – прогнозируемый объем поступлений по доходу;</w:t>
      </w:r>
    </w:p>
    <w:p w:rsidR="000940C4" w:rsidRDefault="00F077A5">
      <w:pPr>
        <w:widowControl w:val="0"/>
        <w:spacing w:line="276" w:lineRule="auto"/>
        <w:ind w:firstLine="1134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 – фактически поступившие доходы в i-м году;</w:t>
      </w:r>
    </w:p>
    <w:p w:rsidR="000940C4" w:rsidRDefault="00F077A5">
      <w:pPr>
        <w:widowControl w:val="0"/>
        <w:spacing w:line="276" w:lineRule="auto"/>
        <w:ind w:firstLine="1134"/>
        <w:jc w:val="both"/>
      </w:pPr>
      <w:r>
        <w:rPr>
          <w:rFonts w:eastAsia="Calibri" w:cs="Times New Roman"/>
          <w:color w:val="auto"/>
          <w:szCs w:val="28"/>
          <w:lang w:eastAsia="en-US" w:bidi="ar-SA"/>
        </w:rPr>
        <w:t>n – фактическое число лет в выбранном периоде усреднения.</w:t>
      </w:r>
    </w:p>
    <w:tbl>
      <w:tblPr>
        <w:tblStyle w:val="113"/>
        <w:tblW w:w="9621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358"/>
        <w:gridCol w:w="5263"/>
      </w:tblGrid>
      <w:tr w:rsidR="000940C4">
        <w:trPr>
          <w:trHeight w:val="338"/>
        </w:trPr>
        <w:tc>
          <w:tcPr>
            <w:tcW w:w="4358" w:type="dxa"/>
            <w:vMerge w:val="restart"/>
          </w:tcPr>
          <w:p w:rsidR="000940C4" w:rsidRDefault="00F077A5">
            <w:pPr>
              <w:widowControl w:val="0"/>
              <w:spacing w:line="276" w:lineRule="auto"/>
              <w:ind w:left="-108"/>
              <w:jc w:val="both"/>
            </w:pPr>
            <w:r>
              <w:rPr>
                <w:szCs w:val="28"/>
              </w:rPr>
              <w:t>Фактически поступившие доходы:</w:t>
            </w:r>
          </w:p>
        </w:tc>
        <w:tc>
          <w:tcPr>
            <w:tcW w:w="5262" w:type="dxa"/>
          </w:tcPr>
          <w:p w:rsidR="000940C4" w:rsidRDefault="00F077A5">
            <w:pPr>
              <w:widowControl w:val="0"/>
              <w:ind w:left="29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2021 год – 9 760 749,44 рублей;</w:t>
            </w:r>
          </w:p>
        </w:tc>
      </w:tr>
      <w:tr w:rsidR="000940C4">
        <w:tc>
          <w:tcPr>
            <w:tcW w:w="4358" w:type="dxa"/>
            <w:vMerge/>
            <w:vAlign w:val="center"/>
          </w:tcPr>
          <w:p w:rsidR="000940C4" w:rsidRDefault="000940C4">
            <w:pPr>
              <w:suppressAutoHyphens w:val="0"/>
              <w:rPr>
                <w:szCs w:val="28"/>
              </w:rPr>
            </w:pPr>
          </w:p>
        </w:tc>
        <w:tc>
          <w:tcPr>
            <w:tcW w:w="5262" w:type="dxa"/>
          </w:tcPr>
          <w:p w:rsidR="000940C4" w:rsidRDefault="00F077A5">
            <w:pPr>
              <w:widowControl w:val="0"/>
              <w:suppressAutoHyphens w:val="0"/>
              <w:ind w:left="29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2022 год – 2 513 740,08 рублей.</w:t>
            </w:r>
          </w:p>
        </w:tc>
      </w:tr>
    </w:tbl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П = (9 760 749,44 + 2 513 740,08) / 2 = 6 137 244,76 (рублей).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vanish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Таким образом, прогноз поступлений на 202</w:t>
      </w:r>
      <w:r w:rsidRPr="00087B9B">
        <w:rPr>
          <w:rFonts w:eastAsia="Calibri" w:cs="Times New Roman"/>
          <w:color w:val="auto"/>
          <w:szCs w:val="28"/>
          <w:lang w:eastAsia="en-US" w:bidi="ar-SA"/>
        </w:rPr>
        <w:t>5</w:t>
      </w:r>
      <w:r>
        <w:rPr>
          <w:rFonts w:eastAsia="Calibri" w:cs="Times New Roman"/>
          <w:color w:val="auto"/>
          <w:szCs w:val="28"/>
          <w:lang w:eastAsia="en-US" w:bidi="ar-SA"/>
        </w:rPr>
        <w:t>-</w:t>
      </w:r>
      <w:r w:rsidRPr="00087B9B">
        <w:rPr>
          <w:rFonts w:eastAsia="Calibri" w:cs="Times New Roman"/>
          <w:color w:val="auto"/>
          <w:szCs w:val="28"/>
          <w:lang w:eastAsia="en-US" w:bidi="ar-SA"/>
        </w:rPr>
        <w:t>2027</w:t>
      </w:r>
      <w:r>
        <w:rPr>
          <w:rFonts w:eastAsia="Calibri" w:cs="Times New Roman"/>
          <w:color w:val="auto"/>
          <w:szCs w:val="28"/>
          <w:lang w:eastAsia="en-US" w:bidi="ar-SA"/>
        </w:rPr>
        <w:t> годы составляет – 6 137 245,00 рублей.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 xml:space="preserve"> </w:t>
      </w:r>
    </w:p>
    <w:p w:rsidR="000940C4" w:rsidRDefault="00F077A5">
      <w:pPr>
        <w:widowControl w:val="0"/>
        <w:shd w:val="clear" w:color="auto" w:fill="FFFFFF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b/>
          <w:color w:val="auto"/>
          <w:szCs w:val="28"/>
          <w:lang w:eastAsia="en-US" w:bidi="ar-SA"/>
        </w:rPr>
        <w:t>3.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 </w:t>
      </w:r>
      <w:r>
        <w:rPr>
          <w:rFonts w:eastAsia="Calibri" w:cs="Times New Roman"/>
          <w:b/>
          <w:color w:val="auto"/>
          <w:szCs w:val="28"/>
          <w:lang w:eastAsia="en-US" w:bidi="ar-SA"/>
        </w:rPr>
        <w:t>КБК 808 112 02052 01 0000 120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 «Плата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</w:t>
      </w:r>
      <w:r>
        <w:rPr>
          <w:rFonts w:eastAsia="Calibri" w:cs="Times New Roman"/>
          <w:color w:val="auto"/>
          <w:szCs w:val="28"/>
          <w:lang w:eastAsia="en-US" w:bidi="ar-SA"/>
        </w:rPr>
        <w:lastRenderedPageBreak/>
        <w:t>местного значения».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Метод расчета – усреднение.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Формула расчета: П=Σ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vertAlign w:val="subscript"/>
          <w:lang w:eastAsia="en-US" w:bidi="ar-SA"/>
        </w:rPr>
        <w:t>=1</w:t>
      </w:r>
      <w:r>
        <w:rPr>
          <w:rFonts w:eastAsia="Calibri" w:cs="Times New Roman"/>
          <w:color w:val="auto"/>
          <w:szCs w:val="28"/>
          <w:vertAlign w:val="superscript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vertAlign w:val="superscript"/>
          <w:lang w:eastAsia="en-US" w:bidi="ar-SA"/>
        </w:rPr>
        <w:t xml:space="preserve"> </w:t>
      </w:r>
      <w:r>
        <w:rPr>
          <w:rFonts w:eastAsia="Calibri" w:cs="Times New Roman"/>
          <w:color w:val="auto"/>
          <w:szCs w:val="28"/>
          <w:lang w:eastAsia="en-US" w:bidi="ar-SA"/>
        </w:rPr>
        <w:t>Ф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lang w:eastAsia="en-US" w:bidi="ar-SA"/>
        </w:rPr>
        <w:t>/</w:t>
      </w:r>
      <w:r>
        <w:rPr>
          <w:rFonts w:eastAsia="Calibri" w:cs="Times New Roman"/>
          <w:color w:val="auto"/>
          <w:szCs w:val="28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, 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где П – прогнозируемый объем поступлений по доходу;</w:t>
      </w:r>
    </w:p>
    <w:p w:rsidR="000940C4" w:rsidRDefault="00F077A5">
      <w:pPr>
        <w:widowControl w:val="0"/>
        <w:spacing w:line="276" w:lineRule="auto"/>
        <w:ind w:firstLine="1134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 – фактически поступившие доходы в i-м году;</w:t>
      </w:r>
    </w:p>
    <w:p w:rsidR="000940C4" w:rsidRDefault="00F077A5">
      <w:pPr>
        <w:widowControl w:val="0"/>
        <w:spacing w:line="276" w:lineRule="auto"/>
        <w:ind w:firstLine="1134"/>
        <w:jc w:val="both"/>
      </w:pPr>
      <w:r>
        <w:rPr>
          <w:rFonts w:eastAsia="Calibri" w:cs="Times New Roman"/>
          <w:color w:val="auto"/>
          <w:szCs w:val="28"/>
          <w:lang w:eastAsia="en-US" w:bidi="ar-SA"/>
        </w:rPr>
        <w:t>n – фактическое число лет в выбранном периоде усреднения.</w:t>
      </w:r>
    </w:p>
    <w:tbl>
      <w:tblPr>
        <w:tblStyle w:val="113"/>
        <w:tblW w:w="8948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643"/>
        <w:gridCol w:w="4305"/>
      </w:tblGrid>
      <w:tr w:rsidR="000940C4">
        <w:tc>
          <w:tcPr>
            <w:tcW w:w="4642" w:type="dxa"/>
            <w:vMerge w:val="restart"/>
          </w:tcPr>
          <w:p w:rsidR="000940C4" w:rsidRDefault="00F077A5">
            <w:pPr>
              <w:widowControl w:val="0"/>
              <w:tabs>
                <w:tab w:val="left" w:pos="2987"/>
              </w:tabs>
              <w:spacing w:line="276" w:lineRule="auto"/>
              <w:ind w:left="-108"/>
              <w:jc w:val="both"/>
            </w:pPr>
            <w:r>
              <w:rPr>
                <w:szCs w:val="28"/>
              </w:rPr>
              <w:t>Фактически поступившие доходы:</w:t>
            </w:r>
          </w:p>
        </w:tc>
        <w:tc>
          <w:tcPr>
            <w:tcW w:w="4305" w:type="dxa"/>
          </w:tcPr>
          <w:p w:rsidR="000940C4" w:rsidRDefault="00F077A5">
            <w:pPr>
              <w:widowControl w:val="0"/>
              <w:suppressAutoHyphens w:val="0"/>
              <w:ind w:left="-103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2022 год – 720 000,00 рублей;</w:t>
            </w:r>
          </w:p>
        </w:tc>
      </w:tr>
      <w:tr w:rsidR="000940C4">
        <w:tc>
          <w:tcPr>
            <w:tcW w:w="4642" w:type="dxa"/>
            <w:vMerge/>
            <w:vAlign w:val="center"/>
          </w:tcPr>
          <w:p w:rsidR="000940C4" w:rsidRDefault="000940C4">
            <w:pPr>
              <w:suppressAutoHyphens w:val="0"/>
              <w:rPr>
                <w:szCs w:val="28"/>
              </w:rPr>
            </w:pPr>
          </w:p>
        </w:tc>
        <w:tc>
          <w:tcPr>
            <w:tcW w:w="4305" w:type="dxa"/>
          </w:tcPr>
          <w:p w:rsidR="000940C4" w:rsidRDefault="00F077A5">
            <w:pPr>
              <w:widowControl w:val="0"/>
              <w:suppressAutoHyphens w:val="0"/>
              <w:ind w:left="-103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2023 год – 780 000,00 рублей.</w:t>
            </w:r>
          </w:p>
        </w:tc>
      </w:tr>
    </w:tbl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pacing w:val="-4"/>
          <w:szCs w:val="28"/>
          <w:lang w:eastAsia="en-US" w:bidi="ar-SA"/>
        </w:rPr>
      </w:pPr>
      <w:r>
        <w:rPr>
          <w:rFonts w:eastAsia="Calibri" w:cs="Times New Roman"/>
          <w:color w:val="auto"/>
          <w:spacing w:val="-4"/>
          <w:szCs w:val="28"/>
          <w:lang w:eastAsia="en-US" w:bidi="ar-SA"/>
        </w:rPr>
        <w:t>П = (780 000,00+720 000,00) / 2 = 750 000,00 (рублей).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vanish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Таким образом, прогноз поступлений на 2025-2027 годы составляет 750 000,00 рублей.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 xml:space="preserve"> </w:t>
      </w:r>
    </w:p>
    <w:p w:rsidR="000940C4" w:rsidRDefault="00F077A5">
      <w:pPr>
        <w:widowControl w:val="0"/>
        <w:shd w:val="clear" w:color="auto" w:fill="FFFFFF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b/>
          <w:color w:val="auto"/>
          <w:szCs w:val="28"/>
          <w:lang w:eastAsia="en-US" w:bidi="ar-SA"/>
        </w:rPr>
        <w:t>4.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 </w:t>
      </w:r>
      <w:r>
        <w:rPr>
          <w:rFonts w:eastAsia="Calibri" w:cs="Times New Roman"/>
          <w:b/>
          <w:color w:val="auto"/>
          <w:szCs w:val="28"/>
          <w:lang w:eastAsia="en-US" w:bidi="ar-SA"/>
        </w:rPr>
        <w:t xml:space="preserve">КБК 808 112 02102 02 0000 120 </w:t>
      </w:r>
      <w:r>
        <w:rPr>
          <w:rFonts w:eastAsia="Calibri" w:cs="Times New Roman"/>
          <w:color w:val="auto"/>
          <w:szCs w:val="28"/>
          <w:lang w:eastAsia="en-US" w:bidi="ar-SA"/>
        </w:rPr>
        <w:t>«Сборы за участие в конкурсе (аукционе) на право пользования участками недр местного значения»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Метод расчета – усреднение.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Формула расчета: П=Σ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vertAlign w:val="subscript"/>
          <w:lang w:eastAsia="en-US" w:bidi="ar-SA"/>
        </w:rPr>
        <w:t>=1</w:t>
      </w:r>
      <w:r>
        <w:rPr>
          <w:rFonts w:eastAsia="Calibri" w:cs="Times New Roman"/>
          <w:color w:val="auto"/>
          <w:szCs w:val="28"/>
          <w:vertAlign w:val="superscript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vertAlign w:val="superscript"/>
          <w:lang w:eastAsia="en-US" w:bidi="ar-SA"/>
        </w:rPr>
        <w:t xml:space="preserve"> </w:t>
      </w:r>
      <w:r>
        <w:rPr>
          <w:rFonts w:eastAsia="Calibri" w:cs="Times New Roman"/>
          <w:color w:val="auto"/>
          <w:szCs w:val="28"/>
          <w:lang w:eastAsia="en-US" w:bidi="ar-SA"/>
        </w:rPr>
        <w:t>Ф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lang w:eastAsia="en-US" w:bidi="ar-SA"/>
        </w:rPr>
        <w:t>/</w:t>
      </w:r>
      <w:r>
        <w:rPr>
          <w:rFonts w:eastAsia="Calibri" w:cs="Times New Roman"/>
          <w:color w:val="auto"/>
          <w:szCs w:val="28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, 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где П – прогнозируемый объем поступлений по доходу;</w:t>
      </w:r>
    </w:p>
    <w:p w:rsidR="000940C4" w:rsidRDefault="00F077A5">
      <w:pPr>
        <w:widowControl w:val="0"/>
        <w:spacing w:line="276" w:lineRule="auto"/>
        <w:ind w:firstLine="1134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 – фактически поступившие доходы в i-м году;</w:t>
      </w:r>
    </w:p>
    <w:p w:rsidR="000940C4" w:rsidRDefault="00F077A5">
      <w:pPr>
        <w:widowControl w:val="0"/>
        <w:spacing w:line="276" w:lineRule="auto"/>
        <w:ind w:firstLine="1134"/>
        <w:jc w:val="both"/>
      </w:pPr>
      <w:r>
        <w:rPr>
          <w:rFonts w:eastAsia="Calibri" w:cs="Times New Roman"/>
          <w:color w:val="auto"/>
          <w:szCs w:val="28"/>
          <w:lang w:eastAsia="en-US" w:bidi="ar-SA"/>
        </w:rPr>
        <w:t>n – фактическое число лет в выбранном периоде усреднения.</w:t>
      </w:r>
    </w:p>
    <w:tbl>
      <w:tblPr>
        <w:tblStyle w:val="113"/>
        <w:tblW w:w="936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293"/>
        <w:gridCol w:w="5069"/>
      </w:tblGrid>
      <w:tr w:rsidR="000940C4">
        <w:trPr>
          <w:trHeight w:val="361"/>
        </w:trPr>
        <w:tc>
          <w:tcPr>
            <w:tcW w:w="4293" w:type="dxa"/>
            <w:vMerge w:val="restart"/>
          </w:tcPr>
          <w:p w:rsidR="000940C4" w:rsidRDefault="00F077A5">
            <w:pPr>
              <w:widowControl w:val="0"/>
              <w:tabs>
                <w:tab w:val="left" w:pos="2987"/>
              </w:tabs>
              <w:spacing w:line="276" w:lineRule="auto"/>
              <w:ind w:left="-108"/>
              <w:jc w:val="both"/>
            </w:pPr>
            <w:r>
              <w:rPr>
                <w:szCs w:val="28"/>
              </w:rPr>
              <w:t>Фактически поступившие доходы:</w:t>
            </w:r>
          </w:p>
        </w:tc>
        <w:tc>
          <w:tcPr>
            <w:tcW w:w="5068" w:type="dxa"/>
          </w:tcPr>
          <w:p w:rsidR="000940C4" w:rsidRDefault="00F077A5">
            <w:pPr>
              <w:widowControl w:val="0"/>
              <w:ind w:left="29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2021 год – 383 400,00 рублей;</w:t>
            </w:r>
          </w:p>
        </w:tc>
      </w:tr>
      <w:tr w:rsidR="000940C4">
        <w:tc>
          <w:tcPr>
            <w:tcW w:w="4293" w:type="dxa"/>
            <w:vMerge/>
            <w:vAlign w:val="center"/>
          </w:tcPr>
          <w:p w:rsidR="000940C4" w:rsidRDefault="000940C4">
            <w:pPr>
              <w:rPr>
                <w:szCs w:val="28"/>
              </w:rPr>
            </w:pPr>
          </w:p>
        </w:tc>
        <w:tc>
          <w:tcPr>
            <w:tcW w:w="5068" w:type="dxa"/>
          </w:tcPr>
          <w:p w:rsidR="000940C4" w:rsidRDefault="00F077A5">
            <w:pPr>
              <w:widowControl w:val="0"/>
              <w:suppressAutoHyphens w:val="0"/>
              <w:ind w:left="29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2022 год – 359 080,00 рублей.</w:t>
            </w:r>
          </w:p>
        </w:tc>
      </w:tr>
      <w:tr w:rsidR="000940C4">
        <w:tc>
          <w:tcPr>
            <w:tcW w:w="4293" w:type="dxa"/>
            <w:vMerge/>
            <w:vAlign w:val="center"/>
          </w:tcPr>
          <w:p w:rsidR="000940C4" w:rsidRDefault="000940C4">
            <w:pPr>
              <w:suppressAutoHyphens w:val="0"/>
              <w:rPr>
                <w:szCs w:val="28"/>
              </w:rPr>
            </w:pPr>
          </w:p>
        </w:tc>
        <w:tc>
          <w:tcPr>
            <w:tcW w:w="5068" w:type="dxa"/>
          </w:tcPr>
          <w:p w:rsidR="000940C4" w:rsidRDefault="00F077A5">
            <w:pPr>
              <w:widowControl w:val="0"/>
              <w:suppressAutoHyphens w:val="0"/>
              <w:ind w:left="29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2023 год – 485 553,00 рублей.</w:t>
            </w:r>
          </w:p>
        </w:tc>
      </w:tr>
    </w:tbl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П = (485 553,00+383 400,00+359 080,00) / 3 = 409 344,33 (рублей).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vanish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Таким образом, прогноз поступлений на 2025-2027 годы составляет 409 344,00 рублей.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 xml:space="preserve"> </w:t>
      </w:r>
    </w:p>
    <w:p w:rsidR="000940C4" w:rsidRDefault="00F077A5">
      <w:pPr>
        <w:widowControl w:val="0"/>
        <w:shd w:val="clear" w:color="auto" w:fill="FFFFFF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b/>
          <w:color w:val="auto"/>
          <w:szCs w:val="28"/>
          <w:lang w:eastAsia="en-US" w:bidi="ar-SA"/>
        </w:rPr>
        <w:t>5.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 </w:t>
      </w:r>
      <w:r>
        <w:rPr>
          <w:rFonts w:eastAsia="Calibri" w:cs="Times New Roman"/>
          <w:b/>
          <w:color w:val="auto"/>
          <w:szCs w:val="28"/>
          <w:lang w:eastAsia="en-US" w:bidi="ar-SA"/>
        </w:rPr>
        <w:t>КБК 808 115 07020 01 0000 140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 «Сборы,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экспертизы».</w:t>
      </w:r>
    </w:p>
    <w:p w:rsidR="000940C4" w:rsidRDefault="00F077A5">
      <w:pPr>
        <w:widowControl w:val="0"/>
        <w:shd w:val="clear" w:color="auto" w:fill="FFFFFF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Метод расчета – усреднение.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Формула расчета: П=Σ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vertAlign w:val="subscript"/>
          <w:lang w:eastAsia="en-US" w:bidi="ar-SA"/>
        </w:rPr>
        <w:t>=1</w:t>
      </w:r>
      <w:r>
        <w:rPr>
          <w:rFonts w:eastAsia="Calibri" w:cs="Times New Roman"/>
          <w:color w:val="auto"/>
          <w:szCs w:val="28"/>
          <w:vertAlign w:val="superscript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vertAlign w:val="superscript"/>
          <w:lang w:eastAsia="en-US" w:bidi="ar-SA"/>
        </w:rPr>
        <w:t xml:space="preserve"> </w:t>
      </w:r>
      <w:r>
        <w:rPr>
          <w:rFonts w:eastAsia="Calibri" w:cs="Times New Roman"/>
          <w:color w:val="auto"/>
          <w:szCs w:val="28"/>
          <w:lang w:eastAsia="en-US" w:bidi="ar-SA"/>
        </w:rPr>
        <w:t>Ф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lang w:eastAsia="en-US" w:bidi="ar-SA"/>
        </w:rPr>
        <w:t>/</w:t>
      </w:r>
      <w:r>
        <w:rPr>
          <w:rFonts w:eastAsia="Calibri" w:cs="Times New Roman"/>
          <w:color w:val="auto"/>
          <w:szCs w:val="28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, 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где П – прогнозируемый объем поступлений по доходу;</w:t>
      </w:r>
    </w:p>
    <w:p w:rsidR="000940C4" w:rsidRDefault="00F077A5">
      <w:pPr>
        <w:widowControl w:val="0"/>
        <w:spacing w:line="276" w:lineRule="auto"/>
        <w:ind w:firstLine="1134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 – фактически поступившие доходы в i-м году;</w:t>
      </w:r>
    </w:p>
    <w:p w:rsidR="000940C4" w:rsidRDefault="00F077A5">
      <w:pPr>
        <w:widowControl w:val="0"/>
        <w:spacing w:line="276" w:lineRule="auto"/>
        <w:ind w:firstLine="1134"/>
        <w:jc w:val="both"/>
      </w:pPr>
      <w:r>
        <w:rPr>
          <w:rFonts w:eastAsia="Calibri" w:cs="Times New Roman"/>
          <w:color w:val="auto"/>
          <w:szCs w:val="28"/>
          <w:lang w:eastAsia="en-US" w:bidi="ar-SA"/>
        </w:rPr>
        <w:t>n – фактическое число лет в выбранном периоде усреднения.</w:t>
      </w:r>
    </w:p>
    <w:tbl>
      <w:tblPr>
        <w:tblStyle w:val="113"/>
        <w:tblW w:w="936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358"/>
        <w:gridCol w:w="5004"/>
      </w:tblGrid>
      <w:tr w:rsidR="000940C4">
        <w:trPr>
          <w:trHeight w:val="361"/>
        </w:trPr>
        <w:tc>
          <w:tcPr>
            <w:tcW w:w="4358" w:type="dxa"/>
            <w:vMerge w:val="restart"/>
          </w:tcPr>
          <w:p w:rsidR="000940C4" w:rsidRDefault="00F077A5">
            <w:pPr>
              <w:widowControl w:val="0"/>
              <w:tabs>
                <w:tab w:val="left" w:pos="2987"/>
              </w:tabs>
              <w:spacing w:line="276" w:lineRule="auto"/>
              <w:ind w:left="-108"/>
              <w:jc w:val="both"/>
            </w:pPr>
            <w:r>
              <w:rPr>
                <w:szCs w:val="28"/>
              </w:rPr>
              <w:t>Фактически поступившие доходы:</w:t>
            </w:r>
          </w:p>
        </w:tc>
        <w:tc>
          <w:tcPr>
            <w:tcW w:w="5003" w:type="dxa"/>
          </w:tcPr>
          <w:p w:rsidR="000940C4" w:rsidRDefault="00F077A5">
            <w:pPr>
              <w:widowControl w:val="0"/>
              <w:ind w:left="29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2021 год – 95 697,00 рублей;</w:t>
            </w:r>
          </w:p>
        </w:tc>
      </w:tr>
      <w:tr w:rsidR="000940C4">
        <w:tc>
          <w:tcPr>
            <w:tcW w:w="4358" w:type="dxa"/>
            <w:vMerge/>
            <w:vAlign w:val="center"/>
          </w:tcPr>
          <w:p w:rsidR="000940C4" w:rsidRDefault="000940C4">
            <w:pPr>
              <w:rPr>
                <w:szCs w:val="28"/>
              </w:rPr>
            </w:pPr>
          </w:p>
        </w:tc>
        <w:tc>
          <w:tcPr>
            <w:tcW w:w="5003" w:type="dxa"/>
          </w:tcPr>
          <w:p w:rsidR="000940C4" w:rsidRDefault="00F077A5">
            <w:pPr>
              <w:widowControl w:val="0"/>
              <w:ind w:left="29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2022 год – 95 697,00 рублей;</w:t>
            </w:r>
          </w:p>
        </w:tc>
      </w:tr>
      <w:tr w:rsidR="000940C4">
        <w:tc>
          <w:tcPr>
            <w:tcW w:w="4358" w:type="dxa"/>
            <w:vMerge/>
            <w:vAlign w:val="center"/>
          </w:tcPr>
          <w:p w:rsidR="000940C4" w:rsidRDefault="000940C4">
            <w:pPr>
              <w:suppressAutoHyphens w:val="0"/>
              <w:rPr>
                <w:szCs w:val="28"/>
              </w:rPr>
            </w:pPr>
          </w:p>
        </w:tc>
        <w:tc>
          <w:tcPr>
            <w:tcW w:w="5003" w:type="dxa"/>
          </w:tcPr>
          <w:p w:rsidR="000940C4" w:rsidRDefault="00F077A5">
            <w:pPr>
              <w:widowControl w:val="0"/>
              <w:suppressAutoHyphens w:val="0"/>
              <w:ind w:left="29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2023 год – 95 697,00 рублей.</w:t>
            </w:r>
          </w:p>
        </w:tc>
      </w:tr>
    </w:tbl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П = (95 697,00 + 95 697,00 + 95 697,00) / 3 = 95 697,00 (рублей).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vanish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Таким образом, прогноз поступлений на 2025-2027 годы составляет 95 697,00 рублей.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 xml:space="preserve"> </w:t>
      </w:r>
    </w:p>
    <w:p w:rsidR="00201D40" w:rsidRDefault="00201D40">
      <w:pPr>
        <w:widowControl w:val="0"/>
        <w:spacing w:line="276" w:lineRule="auto"/>
        <w:ind w:firstLine="709"/>
        <w:jc w:val="both"/>
        <w:rPr>
          <w:rFonts w:eastAsia="Calibri" w:cs="Times New Roman"/>
          <w:b/>
          <w:color w:val="auto"/>
          <w:szCs w:val="28"/>
          <w:lang w:eastAsia="en-US" w:bidi="ar-SA"/>
        </w:rPr>
      </w:pP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b/>
          <w:color w:val="auto"/>
          <w:szCs w:val="28"/>
          <w:lang w:eastAsia="en-US" w:bidi="ar-SA"/>
        </w:rPr>
        <w:lastRenderedPageBreak/>
        <w:t>6. КБК 808 116 01072 01 9000 140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 «Административные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штрафы)».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Метод расчета – усреднение.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Формула расчета: П=Σ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vertAlign w:val="subscript"/>
          <w:lang w:eastAsia="en-US" w:bidi="ar-SA"/>
        </w:rPr>
        <w:t>=1</w:t>
      </w:r>
      <w:r>
        <w:rPr>
          <w:rFonts w:eastAsia="Calibri" w:cs="Times New Roman"/>
          <w:color w:val="auto"/>
          <w:szCs w:val="28"/>
          <w:vertAlign w:val="superscript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vertAlign w:val="superscript"/>
          <w:lang w:eastAsia="en-US" w:bidi="ar-SA"/>
        </w:rPr>
        <w:t xml:space="preserve"> </w:t>
      </w:r>
      <w:r>
        <w:rPr>
          <w:rFonts w:eastAsia="Calibri" w:cs="Times New Roman"/>
          <w:color w:val="auto"/>
          <w:szCs w:val="28"/>
          <w:lang w:eastAsia="en-US" w:bidi="ar-SA"/>
        </w:rPr>
        <w:t>Ф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lang w:eastAsia="en-US" w:bidi="ar-SA"/>
        </w:rPr>
        <w:t>/</w:t>
      </w:r>
      <w:r>
        <w:rPr>
          <w:rFonts w:eastAsia="Calibri" w:cs="Times New Roman"/>
          <w:color w:val="auto"/>
          <w:szCs w:val="28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, 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где П – прогнозируемый объем поступлений по доходу;</w:t>
      </w:r>
    </w:p>
    <w:p w:rsidR="000940C4" w:rsidRDefault="00F077A5">
      <w:pPr>
        <w:widowControl w:val="0"/>
        <w:spacing w:line="276" w:lineRule="auto"/>
        <w:ind w:firstLine="1134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 – фактически поступившие доходы в i-м году;</w:t>
      </w:r>
    </w:p>
    <w:p w:rsidR="000940C4" w:rsidRDefault="00F077A5">
      <w:pPr>
        <w:widowControl w:val="0"/>
        <w:spacing w:line="276" w:lineRule="auto"/>
        <w:ind w:firstLine="1134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n – фактическое число лет в выбранном периоде усреднения.</w:t>
      </w:r>
    </w:p>
    <w:tbl>
      <w:tblPr>
        <w:tblStyle w:val="113"/>
        <w:tblW w:w="8948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643"/>
        <w:gridCol w:w="4305"/>
      </w:tblGrid>
      <w:tr w:rsidR="000940C4">
        <w:tc>
          <w:tcPr>
            <w:tcW w:w="4642" w:type="dxa"/>
            <w:vMerge w:val="restart"/>
          </w:tcPr>
          <w:p w:rsidR="000940C4" w:rsidRDefault="00F077A5">
            <w:pPr>
              <w:widowControl w:val="0"/>
              <w:tabs>
                <w:tab w:val="left" w:pos="2987"/>
              </w:tabs>
              <w:spacing w:line="276" w:lineRule="auto"/>
              <w:ind w:left="-108"/>
              <w:jc w:val="both"/>
            </w:pPr>
            <w:r>
              <w:rPr>
                <w:szCs w:val="28"/>
              </w:rPr>
              <w:t>Фактически поступившие доходы:</w:t>
            </w:r>
          </w:p>
        </w:tc>
        <w:tc>
          <w:tcPr>
            <w:tcW w:w="4305" w:type="dxa"/>
          </w:tcPr>
          <w:p w:rsidR="000940C4" w:rsidRDefault="00F077A5">
            <w:pPr>
              <w:widowControl w:val="0"/>
              <w:suppressAutoHyphens w:val="0"/>
              <w:ind w:left="-103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2022 год – 20 000,00 рублей;</w:t>
            </w:r>
          </w:p>
        </w:tc>
      </w:tr>
      <w:tr w:rsidR="000940C4">
        <w:tc>
          <w:tcPr>
            <w:tcW w:w="4642" w:type="dxa"/>
            <w:vMerge/>
            <w:vAlign w:val="center"/>
          </w:tcPr>
          <w:p w:rsidR="000940C4" w:rsidRDefault="000940C4">
            <w:pPr>
              <w:suppressAutoHyphens w:val="0"/>
              <w:rPr>
                <w:szCs w:val="28"/>
              </w:rPr>
            </w:pPr>
          </w:p>
        </w:tc>
        <w:tc>
          <w:tcPr>
            <w:tcW w:w="4305" w:type="dxa"/>
          </w:tcPr>
          <w:p w:rsidR="000940C4" w:rsidRDefault="00F077A5">
            <w:pPr>
              <w:widowControl w:val="0"/>
              <w:suppressAutoHyphens w:val="0"/>
              <w:ind w:left="-103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2023 год – 1 130 000 рублей.</w:t>
            </w:r>
          </w:p>
        </w:tc>
      </w:tr>
    </w:tbl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pacing w:val="-4"/>
          <w:szCs w:val="28"/>
          <w:lang w:eastAsia="en-US" w:bidi="ar-SA"/>
        </w:rPr>
      </w:pPr>
      <w:r>
        <w:rPr>
          <w:rFonts w:eastAsia="Calibri" w:cs="Times New Roman"/>
          <w:color w:val="auto"/>
          <w:spacing w:val="-4"/>
          <w:szCs w:val="28"/>
          <w:lang w:eastAsia="en-US" w:bidi="ar-SA"/>
        </w:rPr>
        <w:t>П = (20 000,00+1 130 000,00) / 2 = 575 000,00 (рублей).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vanish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Таким образом, прогноз поступлений на 2025-2027 годы составляет 575 000,00 рублей.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t xml:space="preserve"> </w:t>
      </w:r>
    </w:p>
    <w:p w:rsidR="000940C4" w:rsidRDefault="00F077A5">
      <w:pPr>
        <w:widowControl w:val="0"/>
        <w:shd w:val="clear" w:color="auto" w:fill="FFFFFF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b/>
          <w:color w:val="auto"/>
          <w:szCs w:val="28"/>
          <w:lang w:eastAsia="en-US" w:bidi="ar-SA"/>
        </w:rPr>
        <w:t>7. КБК 808 116 01082 01 9000 140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 «Административные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штрафы)».</w:t>
      </w:r>
    </w:p>
    <w:p w:rsidR="000940C4" w:rsidRDefault="00F077A5">
      <w:pPr>
        <w:widowControl w:val="0"/>
        <w:shd w:val="clear" w:color="auto" w:fill="FFFFFF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Метод расчета – усреднение.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Формула расчета: П=Σ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vertAlign w:val="subscript"/>
          <w:lang w:eastAsia="en-US" w:bidi="ar-SA"/>
        </w:rPr>
        <w:t>=1</w:t>
      </w:r>
      <w:r>
        <w:rPr>
          <w:rFonts w:eastAsia="Calibri" w:cs="Times New Roman"/>
          <w:color w:val="auto"/>
          <w:szCs w:val="28"/>
          <w:vertAlign w:val="superscript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vertAlign w:val="superscript"/>
          <w:lang w:eastAsia="en-US" w:bidi="ar-SA"/>
        </w:rPr>
        <w:t xml:space="preserve"> </w:t>
      </w:r>
      <w:r>
        <w:rPr>
          <w:rFonts w:eastAsia="Calibri" w:cs="Times New Roman"/>
          <w:color w:val="auto"/>
          <w:szCs w:val="28"/>
          <w:lang w:eastAsia="en-US" w:bidi="ar-SA"/>
        </w:rPr>
        <w:t>Ф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lang w:eastAsia="en-US" w:bidi="ar-SA"/>
        </w:rPr>
        <w:t>/</w:t>
      </w:r>
      <w:r>
        <w:rPr>
          <w:rFonts w:eastAsia="Calibri" w:cs="Times New Roman"/>
          <w:color w:val="auto"/>
          <w:szCs w:val="28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, 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где П – прогнозируемый объем поступлений по доходу;</w:t>
      </w:r>
    </w:p>
    <w:p w:rsidR="000940C4" w:rsidRDefault="00F077A5">
      <w:pPr>
        <w:widowControl w:val="0"/>
        <w:spacing w:line="276" w:lineRule="auto"/>
        <w:ind w:firstLine="1134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 – фактически поступившие доходы в i-м году;</w:t>
      </w:r>
    </w:p>
    <w:p w:rsidR="000940C4" w:rsidRDefault="00F077A5">
      <w:pPr>
        <w:widowControl w:val="0"/>
        <w:spacing w:line="276" w:lineRule="auto"/>
        <w:ind w:firstLine="1134"/>
        <w:jc w:val="both"/>
      </w:pPr>
      <w:r>
        <w:rPr>
          <w:rFonts w:eastAsia="Calibri" w:cs="Times New Roman"/>
          <w:color w:val="auto"/>
          <w:szCs w:val="28"/>
          <w:lang w:eastAsia="en-US" w:bidi="ar-SA"/>
        </w:rPr>
        <w:t>n – фактическое число лет в выбранном периоде усреднения.</w:t>
      </w:r>
    </w:p>
    <w:tbl>
      <w:tblPr>
        <w:tblStyle w:val="113"/>
        <w:tblW w:w="9336" w:type="dxa"/>
        <w:tblInd w:w="741" w:type="dxa"/>
        <w:tblLayout w:type="fixed"/>
        <w:tblLook w:val="04A0" w:firstRow="1" w:lastRow="0" w:firstColumn="1" w:lastColumn="0" w:noHBand="0" w:noVBand="1"/>
      </w:tblPr>
      <w:tblGrid>
        <w:gridCol w:w="4473"/>
        <w:gridCol w:w="4863"/>
      </w:tblGrid>
      <w:tr w:rsidR="000940C4">
        <w:trPr>
          <w:trHeight w:val="361"/>
        </w:trPr>
        <w:tc>
          <w:tcPr>
            <w:tcW w:w="4473" w:type="dxa"/>
            <w:vMerge w:val="restart"/>
          </w:tcPr>
          <w:p w:rsidR="000940C4" w:rsidRDefault="00F077A5">
            <w:pPr>
              <w:widowControl w:val="0"/>
              <w:ind w:left="-108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Фактически поступившие доходы:</w:t>
            </w:r>
          </w:p>
        </w:tc>
        <w:tc>
          <w:tcPr>
            <w:tcW w:w="4862" w:type="dxa"/>
          </w:tcPr>
          <w:p w:rsidR="000940C4" w:rsidRDefault="00F077A5">
            <w:pPr>
              <w:widowControl w:val="0"/>
              <w:ind w:left="29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2021 год – 1 363 551,54 рублей;</w:t>
            </w:r>
          </w:p>
        </w:tc>
      </w:tr>
      <w:tr w:rsidR="000940C4">
        <w:tc>
          <w:tcPr>
            <w:tcW w:w="4473" w:type="dxa"/>
            <w:vMerge/>
            <w:vAlign w:val="center"/>
          </w:tcPr>
          <w:p w:rsidR="000940C4" w:rsidRDefault="000940C4">
            <w:pPr>
              <w:rPr>
                <w:szCs w:val="28"/>
              </w:rPr>
            </w:pPr>
          </w:p>
        </w:tc>
        <w:tc>
          <w:tcPr>
            <w:tcW w:w="4862" w:type="dxa"/>
          </w:tcPr>
          <w:p w:rsidR="000940C4" w:rsidRDefault="00F077A5">
            <w:pPr>
              <w:widowControl w:val="0"/>
              <w:suppressAutoHyphens w:val="0"/>
              <w:ind w:left="29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2022 год – 1 255 461,14 рублей.</w:t>
            </w:r>
          </w:p>
        </w:tc>
      </w:tr>
    </w:tbl>
    <w:p w:rsidR="000940C4" w:rsidRDefault="00F077A5">
      <w:pPr>
        <w:widowControl w:val="0"/>
        <w:spacing w:line="276" w:lineRule="auto"/>
        <w:ind w:firstLine="709"/>
        <w:jc w:val="both"/>
      </w:pPr>
      <w:r>
        <w:rPr>
          <w:rFonts w:eastAsia="Calibri" w:cs="Times New Roman"/>
          <w:color w:val="auto"/>
          <w:szCs w:val="28"/>
          <w:lang w:eastAsia="en-US" w:bidi="ar-SA"/>
        </w:rPr>
        <w:t>П = (1 363 551,54 + 1 255 461,14) / 2 = 1 309 506,34 (рублей).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vanish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Таким образом, прогноз поступлений на 2025-2027 годы составляет 1 309 506,00 рублей.</w:t>
      </w:r>
    </w:p>
    <w:p w:rsidR="000940C4" w:rsidRDefault="000940C4">
      <w:pPr>
        <w:widowControl w:val="0"/>
        <w:spacing w:line="276" w:lineRule="auto"/>
        <w:ind w:firstLine="709"/>
        <w:jc w:val="both"/>
        <w:rPr>
          <w:rFonts w:eastAsia="Calibri" w:cs="Times New Roman"/>
          <w:vanish/>
          <w:color w:val="auto"/>
          <w:szCs w:val="28"/>
          <w:lang w:eastAsia="en-US" w:bidi="ar-SA"/>
        </w:rPr>
      </w:pP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 xml:space="preserve"> </w:t>
      </w:r>
    </w:p>
    <w:p w:rsidR="000940C4" w:rsidRDefault="00F077A5">
      <w:pPr>
        <w:widowControl w:val="0"/>
        <w:shd w:val="clear" w:color="auto" w:fill="FFFFFF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b/>
          <w:color w:val="auto"/>
          <w:szCs w:val="28"/>
          <w:lang w:eastAsia="en-US" w:bidi="ar-SA"/>
        </w:rPr>
        <w:t>8. КБК 808 116 07010 02 0000 140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 «Штрафы,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Федерации».</w:t>
      </w:r>
    </w:p>
    <w:p w:rsidR="000940C4" w:rsidRDefault="00F077A5">
      <w:pPr>
        <w:widowControl w:val="0"/>
        <w:shd w:val="clear" w:color="auto" w:fill="FFFFFF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Метод расчета – усреднение.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Формула расчета: П=Σ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vertAlign w:val="subscript"/>
          <w:lang w:eastAsia="en-US" w:bidi="ar-SA"/>
        </w:rPr>
        <w:t>=1</w:t>
      </w:r>
      <w:r>
        <w:rPr>
          <w:rFonts w:eastAsia="Calibri" w:cs="Times New Roman"/>
          <w:color w:val="auto"/>
          <w:szCs w:val="28"/>
          <w:vertAlign w:val="superscript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vertAlign w:val="superscript"/>
          <w:lang w:eastAsia="en-US" w:bidi="ar-SA"/>
        </w:rPr>
        <w:t xml:space="preserve"> </w:t>
      </w:r>
      <w:r>
        <w:rPr>
          <w:rFonts w:eastAsia="Calibri" w:cs="Times New Roman"/>
          <w:color w:val="auto"/>
          <w:szCs w:val="28"/>
          <w:lang w:eastAsia="en-US" w:bidi="ar-SA"/>
        </w:rPr>
        <w:t>Ф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lang w:eastAsia="en-US" w:bidi="ar-SA"/>
        </w:rPr>
        <w:t>/</w:t>
      </w:r>
      <w:r>
        <w:rPr>
          <w:rFonts w:eastAsia="Calibri" w:cs="Times New Roman"/>
          <w:color w:val="auto"/>
          <w:szCs w:val="28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, 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где П – прогнозируемый объем поступлений по доходу;</w:t>
      </w:r>
    </w:p>
    <w:p w:rsidR="000940C4" w:rsidRDefault="00F077A5">
      <w:pPr>
        <w:widowControl w:val="0"/>
        <w:spacing w:line="276" w:lineRule="auto"/>
        <w:ind w:firstLine="1134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 – фактически поступившие доходы в i-м году;</w:t>
      </w:r>
    </w:p>
    <w:p w:rsidR="000940C4" w:rsidRDefault="00F077A5">
      <w:pPr>
        <w:widowControl w:val="0"/>
        <w:spacing w:line="276" w:lineRule="auto"/>
        <w:ind w:firstLine="1134"/>
        <w:jc w:val="both"/>
      </w:pPr>
      <w:r>
        <w:rPr>
          <w:rFonts w:eastAsia="Calibri" w:cs="Times New Roman"/>
          <w:color w:val="auto"/>
          <w:szCs w:val="28"/>
          <w:lang w:eastAsia="en-US" w:bidi="ar-SA"/>
        </w:rPr>
        <w:lastRenderedPageBreak/>
        <w:t>n – фактическое число лет в выбранном периоде усреднения.</w:t>
      </w:r>
    </w:p>
    <w:tbl>
      <w:tblPr>
        <w:tblStyle w:val="113"/>
        <w:tblW w:w="936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474"/>
        <w:gridCol w:w="4888"/>
      </w:tblGrid>
      <w:tr w:rsidR="000940C4">
        <w:trPr>
          <w:trHeight w:val="361"/>
        </w:trPr>
        <w:tc>
          <w:tcPr>
            <w:tcW w:w="4474" w:type="dxa"/>
            <w:vMerge w:val="restart"/>
          </w:tcPr>
          <w:p w:rsidR="000940C4" w:rsidRDefault="00F077A5">
            <w:pPr>
              <w:widowControl w:val="0"/>
              <w:ind w:left="-108"/>
              <w:jc w:val="both"/>
            </w:pPr>
            <w:bookmarkStart w:id="0" w:name="_GoBack"/>
            <w:bookmarkEnd w:id="0"/>
            <w:r>
              <w:rPr>
                <w:rFonts w:eastAsia="Calibri" w:cs="Times New Roman"/>
                <w:color w:val="auto"/>
                <w:szCs w:val="28"/>
              </w:rPr>
              <w:t>Фактически поступившие доходы:</w:t>
            </w:r>
          </w:p>
        </w:tc>
        <w:tc>
          <w:tcPr>
            <w:tcW w:w="4887" w:type="dxa"/>
          </w:tcPr>
          <w:p w:rsidR="000940C4" w:rsidRDefault="00F077A5">
            <w:pPr>
              <w:widowControl w:val="0"/>
              <w:ind w:left="29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2021 год – 184 504,39 рублей.</w:t>
            </w:r>
          </w:p>
        </w:tc>
      </w:tr>
      <w:tr w:rsidR="000940C4">
        <w:tc>
          <w:tcPr>
            <w:tcW w:w="4474" w:type="dxa"/>
            <w:vMerge/>
          </w:tcPr>
          <w:p w:rsidR="000940C4" w:rsidRDefault="000940C4">
            <w:pPr>
              <w:rPr>
                <w:szCs w:val="28"/>
              </w:rPr>
            </w:pPr>
          </w:p>
        </w:tc>
        <w:tc>
          <w:tcPr>
            <w:tcW w:w="4887" w:type="dxa"/>
          </w:tcPr>
          <w:p w:rsidR="000940C4" w:rsidRDefault="00F077A5">
            <w:pPr>
              <w:widowControl w:val="0"/>
              <w:ind w:left="29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2022 год – 30,00 рублей;</w:t>
            </w:r>
          </w:p>
        </w:tc>
      </w:tr>
      <w:tr w:rsidR="000940C4">
        <w:tc>
          <w:tcPr>
            <w:tcW w:w="4474" w:type="dxa"/>
            <w:vMerge/>
          </w:tcPr>
          <w:p w:rsidR="000940C4" w:rsidRDefault="000940C4">
            <w:pPr>
              <w:rPr>
                <w:szCs w:val="28"/>
              </w:rPr>
            </w:pPr>
          </w:p>
        </w:tc>
        <w:tc>
          <w:tcPr>
            <w:tcW w:w="4887" w:type="dxa"/>
          </w:tcPr>
          <w:p w:rsidR="000940C4" w:rsidRDefault="00F077A5">
            <w:pPr>
              <w:widowControl w:val="0"/>
              <w:ind w:left="29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2023 год – 2 427 817,67 рублей.</w:t>
            </w:r>
          </w:p>
        </w:tc>
      </w:tr>
    </w:tbl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П = (30,00 + 184 504,39 +2 427 817,67) / 3 = 870 784,02 (рублей).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vanish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Таким образом, прогноз поступлений на 2025-2027 годы составляет 870 784,00 рублей.</w:t>
      </w:r>
    </w:p>
    <w:p w:rsidR="000940C4" w:rsidRDefault="000940C4">
      <w:pPr>
        <w:widowControl w:val="0"/>
        <w:spacing w:line="276" w:lineRule="auto"/>
        <w:ind w:firstLine="709"/>
        <w:jc w:val="both"/>
        <w:rPr>
          <w:rFonts w:eastAsia="Calibri" w:cs="Times New Roman"/>
          <w:vanish/>
          <w:color w:val="auto"/>
          <w:szCs w:val="28"/>
          <w:lang w:eastAsia="en-US" w:bidi="ar-SA"/>
        </w:rPr>
      </w:pP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vanish/>
          <w:color w:val="auto"/>
          <w:szCs w:val="28"/>
          <w:lang w:eastAsia="en-US" w:bidi="ar-SA"/>
        </w:rPr>
        <w:t xml:space="preserve"> </w:t>
      </w:r>
    </w:p>
    <w:p w:rsidR="000940C4" w:rsidRDefault="00F077A5">
      <w:pPr>
        <w:widowControl w:val="0"/>
        <w:shd w:val="clear" w:color="auto" w:fill="FFFFFF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b/>
          <w:color w:val="auto"/>
          <w:szCs w:val="28"/>
          <w:lang w:eastAsia="en-US" w:bidi="ar-SA"/>
        </w:rPr>
        <w:t>9. КБК 808 116 07040 02 0000 140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 «Штрафы, неустойки, пени,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Федерации».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Метод расчета – усреднение.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Формула расчета: П=Σ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vertAlign w:val="subscript"/>
          <w:lang w:eastAsia="en-US" w:bidi="ar-SA"/>
        </w:rPr>
        <w:t>=1</w:t>
      </w:r>
      <w:r>
        <w:rPr>
          <w:rFonts w:eastAsia="Calibri" w:cs="Times New Roman"/>
          <w:color w:val="auto"/>
          <w:szCs w:val="28"/>
          <w:vertAlign w:val="superscript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vertAlign w:val="superscript"/>
          <w:lang w:eastAsia="en-US" w:bidi="ar-SA"/>
        </w:rPr>
        <w:t xml:space="preserve"> </w:t>
      </w:r>
      <w:r>
        <w:rPr>
          <w:rFonts w:eastAsia="Calibri" w:cs="Times New Roman"/>
          <w:color w:val="auto"/>
          <w:szCs w:val="28"/>
          <w:lang w:eastAsia="en-US" w:bidi="ar-SA"/>
        </w:rPr>
        <w:t>Ф</w:t>
      </w:r>
      <w:proofErr w:type="spellStart"/>
      <w:r>
        <w:rPr>
          <w:rFonts w:eastAsia="Calibri" w:cs="Times New Roman"/>
          <w:color w:val="auto"/>
          <w:szCs w:val="28"/>
          <w:vertAlign w:val="subscript"/>
          <w:lang w:val="en-US" w:eastAsia="en-US" w:bidi="ar-SA"/>
        </w:rPr>
        <w:t>i</w:t>
      </w:r>
      <w:proofErr w:type="spellEnd"/>
      <w:r>
        <w:rPr>
          <w:rFonts w:eastAsia="Calibri" w:cs="Times New Roman"/>
          <w:color w:val="auto"/>
          <w:szCs w:val="28"/>
          <w:lang w:eastAsia="en-US" w:bidi="ar-SA"/>
        </w:rPr>
        <w:t>/</w:t>
      </w:r>
      <w:r>
        <w:rPr>
          <w:rFonts w:eastAsia="Calibri" w:cs="Times New Roman"/>
          <w:color w:val="auto"/>
          <w:szCs w:val="28"/>
          <w:lang w:val="en-US" w:eastAsia="en-US" w:bidi="ar-SA"/>
        </w:rPr>
        <w:t>n</w:t>
      </w:r>
      <w:r>
        <w:rPr>
          <w:rFonts w:eastAsia="Calibri" w:cs="Times New Roman"/>
          <w:color w:val="auto"/>
          <w:szCs w:val="28"/>
          <w:lang w:eastAsia="en-US" w:bidi="ar-SA"/>
        </w:rPr>
        <w:t xml:space="preserve">, 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где П – прогнозируемый объем поступлений по доходу;</w:t>
      </w:r>
    </w:p>
    <w:p w:rsidR="000940C4" w:rsidRDefault="00F077A5">
      <w:pPr>
        <w:widowControl w:val="0"/>
        <w:spacing w:line="276" w:lineRule="auto"/>
        <w:ind w:firstLine="1134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Ф – фактически поступившие доходы в i-м году;</w:t>
      </w:r>
    </w:p>
    <w:p w:rsidR="000940C4" w:rsidRDefault="00F077A5">
      <w:pPr>
        <w:widowControl w:val="0"/>
        <w:spacing w:line="276" w:lineRule="auto"/>
        <w:ind w:firstLine="1134"/>
        <w:jc w:val="both"/>
      </w:pPr>
      <w:r>
        <w:rPr>
          <w:rFonts w:eastAsia="Calibri" w:cs="Times New Roman"/>
          <w:color w:val="auto"/>
          <w:szCs w:val="28"/>
          <w:lang w:eastAsia="en-US" w:bidi="ar-SA"/>
        </w:rPr>
        <w:t>n – фактическое число лет в выбранном периоде усреднения.</w:t>
      </w:r>
    </w:p>
    <w:tbl>
      <w:tblPr>
        <w:tblStyle w:val="113"/>
        <w:tblW w:w="936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474"/>
        <w:gridCol w:w="4888"/>
      </w:tblGrid>
      <w:tr w:rsidR="000940C4" w:rsidTr="00CC1EAD">
        <w:trPr>
          <w:trHeight w:val="361"/>
        </w:trPr>
        <w:tc>
          <w:tcPr>
            <w:tcW w:w="4474" w:type="dxa"/>
            <w:vMerge w:val="restart"/>
          </w:tcPr>
          <w:p w:rsidR="000940C4" w:rsidRDefault="00F077A5">
            <w:pPr>
              <w:widowControl w:val="0"/>
              <w:ind w:left="-108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Фактически поступившие доходы</w:t>
            </w:r>
            <w:r>
              <w:rPr>
                <w:rFonts w:eastAsia="Calibri" w:cs="Times New Roman"/>
                <w:color w:val="auto"/>
                <w:szCs w:val="28"/>
                <w:lang w:val="en-US"/>
              </w:rPr>
              <w:t>:</w:t>
            </w:r>
          </w:p>
        </w:tc>
        <w:tc>
          <w:tcPr>
            <w:tcW w:w="4887" w:type="dxa"/>
          </w:tcPr>
          <w:p w:rsidR="000940C4" w:rsidRDefault="00F077A5">
            <w:pPr>
              <w:widowControl w:val="0"/>
              <w:suppressAutoHyphens w:val="0"/>
              <w:ind w:left="29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2022 год – 662 640,42 рублей;</w:t>
            </w:r>
          </w:p>
        </w:tc>
      </w:tr>
      <w:tr w:rsidR="000940C4" w:rsidTr="00CC1EAD">
        <w:tc>
          <w:tcPr>
            <w:tcW w:w="4474" w:type="dxa"/>
            <w:vMerge/>
            <w:vAlign w:val="center"/>
          </w:tcPr>
          <w:p w:rsidR="000940C4" w:rsidRDefault="000940C4">
            <w:pPr>
              <w:suppressAutoHyphens w:val="0"/>
              <w:rPr>
                <w:szCs w:val="28"/>
              </w:rPr>
            </w:pPr>
          </w:p>
        </w:tc>
        <w:tc>
          <w:tcPr>
            <w:tcW w:w="4887" w:type="dxa"/>
          </w:tcPr>
          <w:p w:rsidR="000940C4" w:rsidRDefault="00F077A5">
            <w:pPr>
              <w:widowControl w:val="0"/>
              <w:suppressAutoHyphens w:val="0"/>
              <w:ind w:left="29"/>
              <w:jc w:val="both"/>
            </w:pPr>
            <w:r>
              <w:rPr>
                <w:rFonts w:eastAsia="Calibri" w:cs="Times New Roman"/>
                <w:color w:val="auto"/>
                <w:szCs w:val="28"/>
              </w:rPr>
              <w:t>за 2023 год – 488 660,74 рублей.</w:t>
            </w:r>
          </w:p>
        </w:tc>
      </w:tr>
    </w:tbl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П = (488 660,74 + 662 640,42) / 2 = 575 650,58 (рублей).</w:t>
      </w: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vanish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Таким образом, прогноз поступлений на 2025-2027 годы составляет 575 651,00 рублей.</w:t>
      </w:r>
    </w:p>
    <w:p w:rsidR="000940C4" w:rsidRDefault="000940C4">
      <w:pPr>
        <w:widowControl w:val="0"/>
        <w:spacing w:line="276" w:lineRule="auto"/>
        <w:ind w:firstLine="709"/>
        <w:jc w:val="both"/>
        <w:rPr>
          <w:rFonts w:eastAsia="Calibri" w:cs="Times New Roman"/>
          <w:vanish/>
          <w:color w:val="auto"/>
          <w:szCs w:val="28"/>
          <w:lang w:eastAsia="en-US" w:bidi="ar-SA"/>
        </w:rPr>
      </w:pPr>
    </w:p>
    <w:p w:rsidR="000940C4" w:rsidRDefault="00F077A5">
      <w:pPr>
        <w:widowControl w:val="0"/>
        <w:spacing w:line="276" w:lineRule="auto"/>
        <w:ind w:firstLine="709"/>
        <w:jc w:val="both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vanish/>
          <w:color w:val="auto"/>
          <w:szCs w:val="28"/>
          <w:lang w:eastAsia="en-US" w:bidi="ar-SA"/>
        </w:rPr>
        <w:t xml:space="preserve"> </w:t>
      </w:r>
    </w:p>
    <w:p w:rsidR="000940C4" w:rsidRDefault="00F077A5">
      <w:pPr>
        <w:shd w:val="clear" w:color="auto" w:fill="FFFFFF"/>
        <w:suppressAutoHyphens w:val="0"/>
        <w:jc w:val="right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Таблица</w:t>
      </w:r>
    </w:p>
    <w:p w:rsidR="000940C4" w:rsidRDefault="00F077A5">
      <w:pPr>
        <w:shd w:val="clear" w:color="auto" w:fill="FFFFFF"/>
        <w:jc w:val="center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 xml:space="preserve">Сводная таблица прогнозных показателей поступлений в краевой бюджет </w:t>
      </w:r>
    </w:p>
    <w:p w:rsidR="000940C4" w:rsidRDefault="00F077A5">
      <w:pPr>
        <w:shd w:val="clear" w:color="auto" w:fill="FFFFFF"/>
        <w:suppressAutoHyphens w:val="0"/>
        <w:jc w:val="center"/>
        <w:rPr>
          <w:rFonts w:eastAsia="Calibri" w:cs="Times New Roman"/>
          <w:color w:val="auto"/>
          <w:szCs w:val="28"/>
          <w:lang w:eastAsia="en-US" w:bidi="ar-SA"/>
        </w:rPr>
      </w:pPr>
      <w:r>
        <w:rPr>
          <w:rFonts w:eastAsia="Calibri" w:cs="Times New Roman"/>
          <w:color w:val="auto"/>
          <w:szCs w:val="28"/>
          <w:lang w:eastAsia="en-US" w:bidi="ar-SA"/>
        </w:rPr>
        <w:t>на 2025 год и плановый период 2026-2027 годов</w:t>
      </w:r>
    </w:p>
    <w:p w:rsidR="000940C4" w:rsidRDefault="000940C4">
      <w:pPr>
        <w:shd w:val="clear" w:color="auto" w:fill="FFFFFF"/>
        <w:suppressAutoHyphens w:val="0"/>
        <w:jc w:val="center"/>
        <w:rPr>
          <w:rFonts w:eastAsia="Calibri" w:cs="Times New Roman"/>
          <w:color w:val="auto"/>
          <w:szCs w:val="28"/>
          <w:lang w:eastAsia="en-US" w:bidi="ar-SA"/>
        </w:rPr>
      </w:pPr>
    </w:p>
    <w:tbl>
      <w:tblPr>
        <w:tblStyle w:val="1b"/>
        <w:tblW w:w="10060" w:type="dxa"/>
        <w:tblLayout w:type="fixed"/>
        <w:tblLook w:val="04A0" w:firstRow="1" w:lastRow="0" w:firstColumn="1" w:lastColumn="0" w:noHBand="0" w:noVBand="1"/>
      </w:tblPr>
      <w:tblGrid>
        <w:gridCol w:w="655"/>
        <w:gridCol w:w="3228"/>
        <w:gridCol w:w="2066"/>
        <w:gridCol w:w="2268"/>
        <w:gridCol w:w="1843"/>
      </w:tblGrid>
      <w:tr w:rsidR="000940C4" w:rsidTr="00012331">
        <w:tc>
          <w:tcPr>
            <w:tcW w:w="655" w:type="dxa"/>
            <w:vMerge w:val="restart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ascii="Calibri" w:eastAsia="Calibri" w:hAnsi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№ п/п</w:t>
            </w:r>
          </w:p>
        </w:tc>
        <w:tc>
          <w:tcPr>
            <w:tcW w:w="3228" w:type="dxa"/>
            <w:vMerge w:val="restart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ascii="Calibri" w:eastAsia="Calibri" w:hAnsi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КБК</w:t>
            </w:r>
          </w:p>
        </w:tc>
        <w:tc>
          <w:tcPr>
            <w:tcW w:w="6177" w:type="dxa"/>
            <w:gridSpan w:val="3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ascii="Calibri" w:eastAsia="Calibri" w:hAnsi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Прогноз по годам, руб.</w:t>
            </w:r>
          </w:p>
        </w:tc>
      </w:tr>
      <w:tr w:rsidR="000940C4" w:rsidTr="00012331">
        <w:tc>
          <w:tcPr>
            <w:tcW w:w="655" w:type="dxa"/>
            <w:vMerge/>
          </w:tcPr>
          <w:p w:rsidR="000940C4" w:rsidRDefault="000940C4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</w:p>
        </w:tc>
        <w:tc>
          <w:tcPr>
            <w:tcW w:w="3228" w:type="dxa"/>
            <w:vMerge/>
          </w:tcPr>
          <w:p w:rsidR="000940C4" w:rsidRDefault="000940C4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</w:p>
        </w:tc>
        <w:tc>
          <w:tcPr>
            <w:tcW w:w="2066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ascii="Calibri" w:eastAsia="Calibri" w:hAnsi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2025</w:t>
            </w:r>
          </w:p>
        </w:tc>
        <w:tc>
          <w:tcPr>
            <w:tcW w:w="226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ascii="Calibri" w:eastAsia="Calibri" w:hAnsi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2026</w:t>
            </w:r>
          </w:p>
        </w:tc>
        <w:tc>
          <w:tcPr>
            <w:tcW w:w="1843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ascii="Calibri" w:eastAsia="Calibri" w:hAnsi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2027</w:t>
            </w:r>
          </w:p>
        </w:tc>
      </w:tr>
      <w:tr w:rsidR="000940C4" w:rsidTr="00012331">
        <w:tc>
          <w:tcPr>
            <w:tcW w:w="655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1</w:t>
            </w:r>
          </w:p>
        </w:tc>
        <w:tc>
          <w:tcPr>
            <w:tcW w:w="322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808 108 07082 01 1000 110</w:t>
            </w:r>
          </w:p>
        </w:tc>
        <w:tc>
          <w:tcPr>
            <w:tcW w:w="2066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>
              <w:rPr>
                <w:rFonts w:eastAsia="Calibri" w:cs="Times New Roman"/>
                <w:color w:val="auto"/>
                <w:sz w:val="22"/>
                <w:lang w:val="en-US"/>
              </w:rPr>
              <w:t>281 000,00</w:t>
            </w:r>
          </w:p>
        </w:tc>
        <w:tc>
          <w:tcPr>
            <w:tcW w:w="226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>
              <w:rPr>
                <w:rFonts w:eastAsia="Calibri" w:cs="Times New Roman"/>
                <w:color w:val="auto"/>
                <w:sz w:val="22"/>
                <w:lang w:val="en-US"/>
              </w:rPr>
              <w:t>281 000,00</w:t>
            </w:r>
          </w:p>
        </w:tc>
        <w:tc>
          <w:tcPr>
            <w:tcW w:w="1843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>
              <w:rPr>
                <w:rFonts w:eastAsia="Calibri" w:cs="Times New Roman"/>
                <w:color w:val="auto"/>
                <w:sz w:val="22"/>
                <w:lang w:val="en-US"/>
              </w:rPr>
              <w:t>281 000,00</w:t>
            </w:r>
          </w:p>
        </w:tc>
      </w:tr>
      <w:tr w:rsidR="000940C4" w:rsidTr="00012331">
        <w:tc>
          <w:tcPr>
            <w:tcW w:w="655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2</w:t>
            </w:r>
          </w:p>
        </w:tc>
        <w:tc>
          <w:tcPr>
            <w:tcW w:w="322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808 112 02012 01 0000 120</w:t>
            </w:r>
          </w:p>
        </w:tc>
        <w:tc>
          <w:tcPr>
            <w:tcW w:w="2066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>
              <w:rPr>
                <w:rFonts w:eastAsia="Calibri" w:cs="Times New Roman"/>
                <w:color w:val="auto"/>
                <w:sz w:val="22"/>
                <w:lang w:val="en-US"/>
              </w:rPr>
              <w:t>6 137 245,00</w:t>
            </w:r>
          </w:p>
        </w:tc>
        <w:tc>
          <w:tcPr>
            <w:tcW w:w="226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>
              <w:rPr>
                <w:rFonts w:eastAsia="Calibri" w:cs="Times New Roman"/>
                <w:color w:val="auto"/>
                <w:sz w:val="22"/>
                <w:lang w:val="en-US"/>
              </w:rPr>
              <w:t>6 137 245,00</w:t>
            </w:r>
          </w:p>
        </w:tc>
        <w:tc>
          <w:tcPr>
            <w:tcW w:w="1843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>
              <w:rPr>
                <w:rFonts w:eastAsia="Calibri" w:cs="Times New Roman"/>
                <w:color w:val="auto"/>
                <w:sz w:val="22"/>
                <w:lang w:val="en-US"/>
              </w:rPr>
              <w:t>6 137 245,00</w:t>
            </w:r>
          </w:p>
        </w:tc>
      </w:tr>
      <w:tr w:rsidR="000940C4" w:rsidTr="00012331">
        <w:tc>
          <w:tcPr>
            <w:tcW w:w="655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3</w:t>
            </w:r>
          </w:p>
        </w:tc>
        <w:tc>
          <w:tcPr>
            <w:tcW w:w="322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808 112 02052 01 0000 120</w:t>
            </w:r>
          </w:p>
        </w:tc>
        <w:tc>
          <w:tcPr>
            <w:tcW w:w="2066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>
              <w:rPr>
                <w:rFonts w:eastAsia="Calibri" w:cs="Times New Roman"/>
                <w:color w:val="auto"/>
                <w:sz w:val="22"/>
                <w:lang w:val="en-US"/>
              </w:rPr>
              <w:t>750 000,00</w:t>
            </w:r>
          </w:p>
        </w:tc>
        <w:tc>
          <w:tcPr>
            <w:tcW w:w="226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>
              <w:rPr>
                <w:rFonts w:eastAsia="Calibri" w:cs="Times New Roman"/>
                <w:color w:val="auto"/>
                <w:sz w:val="22"/>
                <w:lang w:val="en-US"/>
              </w:rPr>
              <w:t>750 000,00</w:t>
            </w:r>
          </w:p>
        </w:tc>
        <w:tc>
          <w:tcPr>
            <w:tcW w:w="1843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>
              <w:rPr>
                <w:rFonts w:eastAsia="Calibri" w:cs="Times New Roman"/>
                <w:color w:val="auto"/>
                <w:sz w:val="22"/>
                <w:lang w:val="en-US"/>
              </w:rPr>
              <w:t>750 000,00</w:t>
            </w:r>
          </w:p>
        </w:tc>
      </w:tr>
      <w:tr w:rsidR="000940C4" w:rsidTr="00012331">
        <w:tc>
          <w:tcPr>
            <w:tcW w:w="655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4</w:t>
            </w:r>
          </w:p>
        </w:tc>
        <w:tc>
          <w:tcPr>
            <w:tcW w:w="322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808 112 02102 02 0000 120</w:t>
            </w:r>
          </w:p>
        </w:tc>
        <w:tc>
          <w:tcPr>
            <w:tcW w:w="2066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409 344,00</w:t>
            </w:r>
          </w:p>
        </w:tc>
        <w:tc>
          <w:tcPr>
            <w:tcW w:w="226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409 344,00</w:t>
            </w:r>
          </w:p>
        </w:tc>
        <w:tc>
          <w:tcPr>
            <w:tcW w:w="1843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409 344,00</w:t>
            </w:r>
          </w:p>
        </w:tc>
      </w:tr>
      <w:tr w:rsidR="000940C4" w:rsidTr="00012331">
        <w:tc>
          <w:tcPr>
            <w:tcW w:w="655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5</w:t>
            </w:r>
          </w:p>
        </w:tc>
        <w:tc>
          <w:tcPr>
            <w:tcW w:w="322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808 115 07020 01 0000 140</w:t>
            </w:r>
          </w:p>
        </w:tc>
        <w:tc>
          <w:tcPr>
            <w:tcW w:w="2066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95 697,00</w:t>
            </w:r>
          </w:p>
        </w:tc>
        <w:tc>
          <w:tcPr>
            <w:tcW w:w="226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95 697,00</w:t>
            </w:r>
          </w:p>
        </w:tc>
        <w:tc>
          <w:tcPr>
            <w:tcW w:w="1843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95 697,00</w:t>
            </w:r>
          </w:p>
        </w:tc>
      </w:tr>
      <w:tr w:rsidR="000940C4" w:rsidTr="00012331">
        <w:tc>
          <w:tcPr>
            <w:tcW w:w="655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6</w:t>
            </w:r>
          </w:p>
        </w:tc>
        <w:tc>
          <w:tcPr>
            <w:tcW w:w="322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808 116 01072 01 9000 140</w:t>
            </w:r>
          </w:p>
        </w:tc>
        <w:tc>
          <w:tcPr>
            <w:tcW w:w="2066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575 000,00</w:t>
            </w:r>
          </w:p>
        </w:tc>
        <w:tc>
          <w:tcPr>
            <w:tcW w:w="226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575 000,00</w:t>
            </w:r>
          </w:p>
        </w:tc>
        <w:tc>
          <w:tcPr>
            <w:tcW w:w="1843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575 000,00</w:t>
            </w:r>
          </w:p>
        </w:tc>
      </w:tr>
      <w:tr w:rsidR="000940C4" w:rsidTr="00012331">
        <w:tc>
          <w:tcPr>
            <w:tcW w:w="655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7</w:t>
            </w:r>
          </w:p>
        </w:tc>
        <w:tc>
          <w:tcPr>
            <w:tcW w:w="322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808 116 01082 01 9000 140</w:t>
            </w:r>
          </w:p>
        </w:tc>
        <w:tc>
          <w:tcPr>
            <w:tcW w:w="2066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1 309 506,00</w:t>
            </w:r>
          </w:p>
        </w:tc>
        <w:tc>
          <w:tcPr>
            <w:tcW w:w="226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1 309 506,00</w:t>
            </w:r>
          </w:p>
        </w:tc>
        <w:tc>
          <w:tcPr>
            <w:tcW w:w="1843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1 309 506,00</w:t>
            </w:r>
          </w:p>
        </w:tc>
      </w:tr>
      <w:tr w:rsidR="000940C4" w:rsidTr="00012331">
        <w:tc>
          <w:tcPr>
            <w:tcW w:w="655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8</w:t>
            </w:r>
          </w:p>
        </w:tc>
        <w:tc>
          <w:tcPr>
            <w:tcW w:w="322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808 116 07010 02 0000 140</w:t>
            </w:r>
          </w:p>
        </w:tc>
        <w:tc>
          <w:tcPr>
            <w:tcW w:w="2066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870 784,00</w:t>
            </w:r>
          </w:p>
        </w:tc>
        <w:tc>
          <w:tcPr>
            <w:tcW w:w="226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870 784,00</w:t>
            </w:r>
          </w:p>
        </w:tc>
        <w:tc>
          <w:tcPr>
            <w:tcW w:w="1843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870 784,00</w:t>
            </w:r>
          </w:p>
        </w:tc>
      </w:tr>
      <w:tr w:rsidR="000940C4" w:rsidTr="00012331">
        <w:tc>
          <w:tcPr>
            <w:tcW w:w="655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9</w:t>
            </w:r>
          </w:p>
        </w:tc>
        <w:tc>
          <w:tcPr>
            <w:tcW w:w="322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808 116 07040 02 0000 140</w:t>
            </w:r>
          </w:p>
        </w:tc>
        <w:tc>
          <w:tcPr>
            <w:tcW w:w="2066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575 651,00</w:t>
            </w:r>
          </w:p>
        </w:tc>
        <w:tc>
          <w:tcPr>
            <w:tcW w:w="226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575 651,00</w:t>
            </w:r>
          </w:p>
        </w:tc>
        <w:tc>
          <w:tcPr>
            <w:tcW w:w="1843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575 651,00</w:t>
            </w:r>
          </w:p>
        </w:tc>
      </w:tr>
      <w:tr w:rsidR="000940C4" w:rsidTr="00012331">
        <w:tc>
          <w:tcPr>
            <w:tcW w:w="3883" w:type="dxa"/>
            <w:gridSpan w:val="2"/>
          </w:tcPr>
          <w:p w:rsidR="000940C4" w:rsidRDefault="00F077A5">
            <w:pPr>
              <w:suppressAutoHyphens w:val="0"/>
              <w:spacing w:line="276" w:lineRule="auto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Итого по годам:</w:t>
            </w:r>
          </w:p>
        </w:tc>
        <w:tc>
          <w:tcPr>
            <w:tcW w:w="2066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11 004 227,00</w:t>
            </w:r>
          </w:p>
        </w:tc>
        <w:tc>
          <w:tcPr>
            <w:tcW w:w="2268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11 004 227,00</w:t>
            </w:r>
          </w:p>
        </w:tc>
        <w:tc>
          <w:tcPr>
            <w:tcW w:w="1843" w:type="dxa"/>
          </w:tcPr>
          <w:p w:rsidR="000940C4" w:rsidRDefault="00F077A5">
            <w:pPr>
              <w:suppressAutoHyphens w:val="0"/>
              <w:spacing w:line="276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</w:rPr>
              <w:t>11 004 227,00</w:t>
            </w:r>
          </w:p>
        </w:tc>
      </w:tr>
    </w:tbl>
    <w:p w:rsidR="000940C4" w:rsidRDefault="000940C4">
      <w:pPr>
        <w:jc w:val="center"/>
        <w:rPr>
          <w:sz w:val="20"/>
        </w:rPr>
      </w:pPr>
    </w:p>
    <w:sectPr w:rsidR="000940C4" w:rsidSect="007422EB">
      <w:headerReference w:type="default" r:id="rId7"/>
      <w:pgSz w:w="11906" w:h="16838"/>
      <w:pgMar w:top="1021" w:right="567" w:bottom="851" w:left="1134" w:header="34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7A5" w:rsidRDefault="00F077A5">
      <w:r>
        <w:separator/>
      </w:r>
    </w:p>
  </w:endnote>
  <w:endnote w:type="continuationSeparator" w:id="0">
    <w:p w:rsidR="00F077A5" w:rsidRDefault="00F07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7A5" w:rsidRDefault="00F077A5">
      <w:r>
        <w:separator/>
      </w:r>
    </w:p>
  </w:footnote>
  <w:footnote w:type="continuationSeparator" w:id="0">
    <w:p w:rsidR="00F077A5" w:rsidRDefault="00F07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0C4" w:rsidRDefault="00F077A5">
    <w:pPr>
      <w:pStyle w:val="af"/>
      <w:tabs>
        <w:tab w:val="clear" w:pos="4677"/>
        <w:tab w:val="clear" w:pos="9355"/>
      </w:tabs>
      <w:jc w:val="center"/>
    </w:pPr>
    <w:r>
      <w:rPr>
        <w:noProof/>
        <w:lang w:eastAsia="ru-RU" w:bidi="ar-SA"/>
      </w:rPr>
      <mc:AlternateContent>
        <mc:Choice Requires="wps">
          <w:drawing>
            <wp:anchor distT="0" distB="33020" distL="0" distR="0" simplePos="0" relativeHeight="6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-37465</wp:posOffset>
              </wp:positionV>
              <wp:extent cx="171450" cy="339725"/>
              <wp:effectExtent l="0" t="0" r="0" b="3175"/>
              <wp:wrapSquare wrapText="bothSides"/>
              <wp:docPr id="1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33972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940C4" w:rsidRDefault="00F077A5">
                          <w:pPr>
                            <w:pStyle w:val="af1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7422EB">
                            <w:rPr>
                              <w:noProof/>
                              <w:sz w:val="24"/>
                            </w:rPr>
                            <w:t>4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6" style="position:absolute;left:0;text-align:left;margin-left:0;margin-top:-2.95pt;width:13.5pt;height:26.75pt;z-index:-503316474;visibility:visible;mso-wrap-style:square;mso-wrap-distance-left:0;mso-wrap-distance-top:0;mso-wrap-distance-right:0;mso-wrap-distance-bottom:2.6pt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" o:allowincell="f" filled="f" stroked="f" strokeweight="0">
              <v:textbox inset="0,0,0,0">
                <w:txbxContent>
                  <w:p w:rsidR="000940C4" w:rsidRDefault="00F077A5">
                    <w:pPr>
                      <w:pStyle w:val="af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7422EB">
                      <w:rPr>
                        <w:noProof/>
                        <w:sz w:val="24"/>
                      </w:rPr>
                      <w:t>4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0C4"/>
    <w:rsid w:val="00012331"/>
    <w:rsid w:val="00087B9B"/>
    <w:rsid w:val="000940C4"/>
    <w:rsid w:val="00201D40"/>
    <w:rsid w:val="003E798A"/>
    <w:rsid w:val="00552316"/>
    <w:rsid w:val="00717A04"/>
    <w:rsid w:val="007422EB"/>
    <w:rsid w:val="009C5A2A"/>
    <w:rsid w:val="00CC1EAD"/>
    <w:rsid w:val="00F0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5EFD39"/>
  <w15:docId w15:val="{DFD752F2-B5E8-4851-9093-39E803A7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ahoma" w:hAnsi="Times New Roman" w:cs="Lohit Devanagari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10">
    <w:name w:val="Обычный1"/>
    <w:link w:val="11"/>
    <w:qFormat/>
    <w:rPr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12">
    <w:name w:val="Нижний колонтитул1"/>
    <w:qFormat/>
  </w:style>
  <w:style w:type="character" w:customStyle="1" w:styleId="31">
    <w:name w:val="Заголовок 31"/>
    <w:qFormat/>
  </w:style>
  <w:style w:type="character" w:customStyle="1" w:styleId="13">
    <w:name w:val="Гиперссылка1"/>
    <w:link w:val="110"/>
    <w:qFormat/>
    <w:rPr>
      <w:color w:val="0000FF"/>
      <w:u w:val="single"/>
    </w:rPr>
  </w:style>
  <w:style w:type="character" w:customStyle="1" w:styleId="Textbody">
    <w:name w:val="Text body"/>
    <w:qFormat/>
  </w:style>
  <w:style w:type="character" w:customStyle="1" w:styleId="14">
    <w:name w:val="Основной шрифт абзаца1"/>
    <w:link w:val="111"/>
    <w:qFormat/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a3">
    <w:name w:val="Знак"/>
    <w:link w:val="15"/>
    <w:qFormat/>
    <w:rPr>
      <w:rFonts w:ascii="Verdana" w:hAnsi="Verdana"/>
      <w:sz w:val="20"/>
    </w:rPr>
  </w:style>
  <w:style w:type="character" w:customStyle="1" w:styleId="a4">
    <w:name w:val="Текст выноски Знак"/>
    <w:link w:val="a5"/>
    <w:qFormat/>
    <w:rPr>
      <w:rFonts w:ascii="Tahoma" w:hAnsi="Tahoma"/>
      <w:sz w:val="16"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a6">
    <w:name w:val="Знак Знак Знак Знак"/>
    <w:link w:val="16"/>
    <w:qFormat/>
    <w:rPr>
      <w:rFonts w:ascii="Verdana" w:hAnsi="Verdana"/>
      <w:sz w:val="20"/>
    </w:rPr>
  </w:style>
  <w:style w:type="character" w:customStyle="1" w:styleId="112">
    <w:name w:val="Заголовок 11"/>
    <w:qFormat/>
    <w:rPr>
      <w:rFonts w:ascii="Calibri Light" w:hAnsi="Calibri Light"/>
      <w:b/>
      <w:sz w:val="32"/>
    </w:rPr>
  </w:style>
  <w:style w:type="character" w:styleId="a7">
    <w:name w:val="Hyperlink"/>
    <w:rPr>
      <w:color w:val="0000FF"/>
      <w:u w:val="single"/>
    </w:rPr>
  </w:style>
  <w:style w:type="character" w:customStyle="1" w:styleId="Footnote">
    <w:name w:val="Footnote"/>
    <w:link w:val="Footnote1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</w:rPr>
  </w:style>
  <w:style w:type="character" w:customStyle="1" w:styleId="ConsPlusNormal">
    <w:name w:val="ConsPlusNormal"/>
    <w:link w:val="ConsPlusNormal1"/>
    <w:qFormat/>
    <w:rPr>
      <w:rFonts w:ascii="Calibri" w:hAnsi="Calibri"/>
      <w:sz w:val="22"/>
    </w:rPr>
  </w:style>
  <w:style w:type="character" w:customStyle="1" w:styleId="17">
    <w:name w:val="Верхний колонтитул1"/>
    <w:qFormat/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8">
    <w:name w:val="Подзаголовок1"/>
    <w:qFormat/>
    <w:rPr>
      <w:rFonts w:ascii="XO Thames" w:hAnsi="XO Thames"/>
      <w:i/>
      <w:sz w:val="24"/>
    </w:rPr>
  </w:style>
  <w:style w:type="character" w:customStyle="1" w:styleId="19">
    <w:name w:val="Заголовок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21">
    <w:name w:val="Заголовок 21"/>
    <w:qFormat/>
    <w:rPr>
      <w:rFonts w:ascii="Calibri Light" w:hAnsi="Calibri Light"/>
      <w:b/>
      <w:i/>
    </w:rPr>
  </w:style>
  <w:style w:type="paragraph" w:styleId="a8">
    <w:name w:val="Title"/>
    <w:next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a9">
    <w:name w:val="Body Text"/>
    <w:basedOn w:val="a"/>
    <w:pPr>
      <w:widowControl w:val="0"/>
      <w:jc w:val="both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20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customStyle="1" w:styleId="11">
    <w:name w:val="Обычный11"/>
    <w:link w:val="10"/>
    <w:qFormat/>
    <w:rPr>
      <w:sz w:val="28"/>
    </w:rPr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styleId="6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ad">
    <w:name w:val="Колонтитул"/>
    <w:qFormat/>
    <w:pPr>
      <w:jc w:val="both"/>
    </w:pPr>
    <w:rPr>
      <w:rFonts w:ascii="XO Thames" w:hAnsi="XO Thames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22">
    <w:name w:val="Основной шрифт абзаца2"/>
    <w:qFormat/>
  </w:style>
  <w:style w:type="paragraph" w:customStyle="1" w:styleId="110">
    <w:name w:val="Гиперссылка11"/>
    <w:link w:val="13"/>
    <w:qFormat/>
    <w:rPr>
      <w:color w:val="0000FF"/>
      <w:u w:val="single"/>
    </w:rPr>
  </w:style>
  <w:style w:type="paragraph" w:customStyle="1" w:styleId="111">
    <w:name w:val="Основной шрифт абзаца11"/>
    <w:link w:val="14"/>
    <w:qFormat/>
  </w:style>
  <w:style w:type="paragraph" w:styleId="30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15">
    <w:name w:val="Знак1"/>
    <w:basedOn w:val="a"/>
    <w:link w:val="a3"/>
    <w:qFormat/>
    <w:pPr>
      <w:spacing w:after="160" w:line="240" w:lineRule="exact"/>
    </w:pPr>
    <w:rPr>
      <w:rFonts w:ascii="Verdana" w:hAnsi="Verdana"/>
      <w:sz w:val="20"/>
    </w:rPr>
  </w:style>
  <w:style w:type="paragraph" w:styleId="a5">
    <w:name w:val="Balloon Text"/>
    <w:basedOn w:val="a"/>
    <w:link w:val="a4"/>
    <w:qFormat/>
    <w:rPr>
      <w:rFonts w:ascii="Tahoma" w:hAnsi="Tahoma"/>
      <w:sz w:val="16"/>
    </w:rPr>
  </w:style>
  <w:style w:type="paragraph" w:customStyle="1" w:styleId="16">
    <w:name w:val="Знак Знак Знак Знак1"/>
    <w:basedOn w:val="a"/>
    <w:link w:val="a6"/>
    <w:qFormat/>
    <w:pPr>
      <w:spacing w:after="160" w:line="240" w:lineRule="exact"/>
    </w:pPr>
    <w:rPr>
      <w:rFonts w:ascii="Verdana" w:hAnsi="Verdana"/>
      <w:sz w:val="20"/>
    </w:rPr>
  </w:style>
  <w:style w:type="paragraph" w:customStyle="1" w:styleId="Internetlink">
    <w:name w:val="Internet link"/>
    <w:qFormat/>
    <w:rPr>
      <w:color w:val="0000FF"/>
      <w:u w:val="single"/>
    </w:rPr>
  </w:style>
  <w:style w:type="paragraph" w:customStyle="1" w:styleId="Footnote1">
    <w:name w:val="Footnote1"/>
    <w:link w:val="Footnote"/>
    <w:qFormat/>
    <w:pPr>
      <w:ind w:firstLine="851"/>
      <w:jc w:val="both"/>
    </w:pPr>
    <w:rPr>
      <w:rFonts w:ascii="XO Thames" w:hAnsi="XO Thames"/>
      <w:sz w:val="22"/>
    </w:rPr>
  </w:style>
  <w:style w:type="paragraph" w:styleId="1a">
    <w:name w:val="toc 1"/>
    <w:next w:val="a"/>
    <w:uiPriority w:val="39"/>
    <w:rPr>
      <w:rFonts w:ascii="XO Thames" w:hAnsi="XO Thames"/>
      <w:b/>
      <w:sz w:val="28"/>
    </w:rPr>
  </w:style>
  <w:style w:type="paragraph" w:customStyle="1" w:styleId="ConsPlusNormal1">
    <w:name w:val="ConsPlusNormal1"/>
    <w:link w:val="ConsPlusNormal"/>
    <w:qFormat/>
    <w:pPr>
      <w:widowControl w:val="0"/>
    </w:pPr>
    <w:rPr>
      <w:rFonts w:ascii="Calibri" w:hAnsi="Calibri"/>
      <w:sz w:val="22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9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styleId="af0">
    <w:name w:val="Subtitle"/>
    <w:next w:val="a"/>
    <w:uiPriority w:val="11"/>
    <w:qFormat/>
    <w:pPr>
      <w:jc w:val="both"/>
    </w:pPr>
    <w:rPr>
      <w:rFonts w:ascii="XO Thames" w:hAnsi="XO Thames"/>
      <w:i/>
      <w:sz w:val="24"/>
    </w:rPr>
  </w:style>
  <w:style w:type="paragraph" w:customStyle="1" w:styleId="af1">
    <w:name w:val="Содержимое врезки"/>
    <w:basedOn w:val="a"/>
    <w:qFormat/>
  </w:style>
  <w:style w:type="paragraph" w:styleId="af2">
    <w:name w:val="List Paragraph"/>
    <w:basedOn w:val="a"/>
    <w:qFormat/>
    <w:pPr>
      <w:spacing w:after="160"/>
      <w:ind w:left="720"/>
      <w:contextualSpacing/>
    </w:p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table" w:styleId="af5">
    <w:name w:val="Table Grid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b">
    <w:name w:val="Сетка таблицы1"/>
    <w:basedOn w:val="a1"/>
    <w:uiPriority w:val="39"/>
    <w:rsid w:val="00A50108"/>
    <w:rPr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1"/>
    <w:uiPriority w:val="39"/>
    <w:rsid w:val="00A50108"/>
    <w:rPr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2B2EA-A232-48CB-80E1-C2253F50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Сушенцова Анна Владимировна</dc:creator>
  <dc:description/>
  <cp:lastModifiedBy>Ахметшина Ирина Викторовна</cp:lastModifiedBy>
  <cp:revision>4</cp:revision>
  <cp:lastPrinted>2024-08-26T00:01:00Z</cp:lastPrinted>
  <dcterms:created xsi:type="dcterms:W3CDTF">2024-08-22T02:19:00Z</dcterms:created>
  <dcterms:modified xsi:type="dcterms:W3CDTF">2024-08-26T01:58:00Z</dcterms:modified>
  <dc:language>ru-RU</dc:language>
</cp:coreProperties>
</file>