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196" w:rsidRDefault="00F4406C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Министерство экономического развития</w:t>
      </w:r>
    </w:p>
    <w:p w:rsidR="00A40196" w:rsidRDefault="00F4406C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Камчатского края</w:t>
      </w:r>
    </w:p>
    <w:p w:rsidR="00A40196" w:rsidRDefault="00A40196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A40196" w:rsidRDefault="00F4406C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 xml:space="preserve">предварительные итоги </w:t>
      </w:r>
    </w:p>
    <w:p w:rsidR="00A40196" w:rsidRDefault="00F4406C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 xml:space="preserve">социально-экономического развития Камчатского края </w:t>
      </w:r>
    </w:p>
    <w:p w:rsidR="00A40196" w:rsidRDefault="00F4406C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 xml:space="preserve">за I полугодие 2024 года </w:t>
      </w:r>
    </w:p>
    <w:p w:rsidR="00A40196" w:rsidRDefault="00F4406C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 xml:space="preserve">и оЖИДАЕМЫЕ ИТОГИ социально-экономического развития Камчатского края </w:t>
      </w:r>
    </w:p>
    <w:p w:rsidR="00A40196" w:rsidRDefault="00F4406C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 2024 год</w:t>
      </w:r>
    </w:p>
    <w:p w:rsidR="00A40196" w:rsidRDefault="00A40196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A4019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0196" w:rsidRDefault="00F440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г. Петропавловск-Камчатский</w:t>
      </w:r>
    </w:p>
    <w:p w:rsidR="00A40196" w:rsidRDefault="00F4406C">
      <w:pPr>
        <w:spacing w:after="0" w:line="240" w:lineRule="auto"/>
        <w:jc w:val="center"/>
        <w:rPr>
          <w:rFonts w:ascii="Times New Roman" w:hAnsi="Times New Roman"/>
          <w:b/>
          <w:sz w:val="28"/>
        </w:rPr>
        <w:sectPr w:rsidR="00A40196">
          <w:pgSz w:w="11906" w:h="16838"/>
          <w:pgMar w:top="851" w:right="624" w:bottom="851" w:left="1418" w:header="0" w:footer="0" w:gutter="0"/>
          <w:pgNumType w:start="1"/>
          <w:cols w:space="720"/>
          <w:formProt w:val="0"/>
          <w:docGrid w:linePitch="100"/>
        </w:sectPr>
      </w:pPr>
      <w:r>
        <w:rPr>
          <w:rFonts w:ascii="Times New Roman" w:hAnsi="Times New Roman"/>
          <w:b/>
          <w:sz w:val="28"/>
        </w:rPr>
        <w:t>2024 год</w:t>
      </w:r>
    </w:p>
    <w:p w:rsidR="00A40196" w:rsidRDefault="00F4406C">
      <w:pPr>
        <w:spacing w:after="0" w:line="240" w:lineRule="auto"/>
        <w:ind w:firstLine="73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Пояснительная записка </w:t>
      </w:r>
    </w:p>
    <w:p w:rsidR="00A40196" w:rsidRDefault="00F4406C">
      <w:pPr>
        <w:spacing w:after="0" w:line="240" w:lineRule="auto"/>
        <w:ind w:firstLine="73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 предварительным итогам социально-экономического развития Камчатского края за I полугодие 2024 года и ожидаемым итогам социально-экономического </w:t>
      </w:r>
      <w:r>
        <w:rPr>
          <w:rFonts w:ascii="Times New Roman" w:hAnsi="Times New Roman"/>
          <w:b/>
          <w:sz w:val="28"/>
        </w:rPr>
        <w:t>развития Камчатского края за 2024 год</w:t>
      </w:r>
    </w:p>
    <w:p w:rsidR="00A40196" w:rsidRPr="00F4406C" w:rsidRDefault="00A40196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p w:rsidR="00A40196" w:rsidRDefault="00F4406C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показатели по итогам социально–экономического развития Камчатского края за I полугодие 2024 года и оценка 2024 года приведены в Приложении.</w:t>
      </w:r>
    </w:p>
    <w:p w:rsidR="00A40196" w:rsidRDefault="00F4406C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этом основные показатели и анализ итогов социально–экономическог</w:t>
      </w:r>
      <w:r>
        <w:rPr>
          <w:rFonts w:ascii="Times New Roman" w:hAnsi="Times New Roman"/>
          <w:sz w:val="28"/>
        </w:rPr>
        <w:t>о развития Камчатского края за I полугодие 2024 года выполнены на основе данных оперативного учета Территориального органа Федеральной службы государственной статистики по Камчатскому краю по кругу обследуемых предприятий и организаций с дорасчетом до полн</w:t>
      </w:r>
      <w:r>
        <w:rPr>
          <w:rFonts w:ascii="Times New Roman" w:hAnsi="Times New Roman"/>
          <w:sz w:val="28"/>
        </w:rPr>
        <w:t>ого круга предприятий, а также других данных оперативного учета. В целом данные оперативного учета органов статистики, достаточно достоверно отражая ситуацию, могут несколько искажать истинную динамику отдельных показателей социально-экономического развити</w:t>
      </w:r>
      <w:r>
        <w:rPr>
          <w:rFonts w:ascii="Times New Roman" w:hAnsi="Times New Roman"/>
          <w:sz w:val="28"/>
        </w:rPr>
        <w:t>я, так как основные показатели социально–экономического развития Камчатского края за январь–июнь 2024 года по предварительным данным оперативного учета соотносятся с данными уточненного отчета по итогам за январь–июнь 2023 года.</w:t>
      </w:r>
    </w:p>
    <w:p w:rsidR="00A40196" w:rsidRDefault="00A40196">
      <w:pPr>
        <w:keepNext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A40196" w:rsidRDefault="00F4406C">
      <w:pPr>
        <w:keepNext/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МАКРОЭКОНОМИЧЕСКИЕ </w:t>
      </w:r>
      <w:r>
        <w:rPr>
          <w:rFonts w:ascii="Times New Roman" w:hAnsi="Times New Roman"/>
          <w:b/>
          <w:sz w:val="28"/>
        </w:rPr>
        <w:t>ПОКАЗАТЕЛИ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Индекс потребительских цен в январе–июне 2024 года по отношению к январю–июню 2023 года составил 108,1% (104,2% к декабрю 2023 года), в том числе 108,3% на продовольственные товары, 107,3% на непродовольственные товары и 109,2% на услуги. 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Средн</w:t>
      </w:r>
      <w:r>
        <w:rPr>
          <w:rFonts w:ascii="Times New Roman" w:hAnsi="Times New Roman"/>
          <w:sz w:val="28"/>
        </w:rPr>
        <w:t>егодовой рост цен по Камчатскому краю в 2023 году ожидается на уровне 108,0%, декабрь к декабрю – 105,4%.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Сальдированный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финансовый результат</w:t>
      </w:r>
      <w:r>
        <w:rPr>
          <w:rFonts w:ascii="Times New Roman" w:hAnsi="Times New Roman"/>
          <w:sz w:val="28"/>
        </w:rPr>
        <w:t xml:space="preserve"> деятельности учтенного круга крупных и средних предприятий за январь–июнь 2024 года составил </w:t>
      </w:r>
      <w:r>
        <w:rPr>
          <w:rFonts w:ascii="Times New Roman" w:hAnsi="Times New Roman"/>
          <w:sz w:val="28"/>
        </w:rPr>
        <w:br/>
        <w:t>30 624,7 млн рублей,</w:t>
      </w:r>
      <w:r>
        <w:rPr>
          <w:rFonts w:ascii="Times New Roman" w:hAnsi="Times New Roman"/>
          <w:sz w:val="28"/>
        </w:rPr>
        <w:t xml:space="preserve"> что в 3 раза превышает аналогичный показатель прошлого года.</w:t>
      </w:r>
    </w:p>
    <w:p w:rsidR="00A40196" w:rsidRDefault="00F4406C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 xml:space="preserve">Положительный сальдированный результат получен по основным видам деятельности: «добыча полезных ископаемых» (16 682,5 млн рублей); «сельское, лесное хозяйство, охота, рыболовство и рыбоводство» </w:t>
      </w:r>
      <w:r>
        <w:rPr>
          <w:rFonts w:ascii="Times New Roman" w:hAnsi="Times New Roman"/>
          <w:sz w:val="28"/>
        </w:rPr>
        <w:t>(9 731,4 млн рублей); «обеспечение электрической энергией, газом и паром» (2 414,0 млн рублей); «торговля оптовая и розничная; ремонт автотранспортных средств и мотоциклов» (1 084,8 млн рублей); «строительство» (1 046,7 млн рублей); «транспортировка и хран</w:t>
      </w:r>
      <w:r>
        <w:rPr>
          <w:rFonts w:ascii="Times New Roman" w:hAnsi="Times New Roman"/>
          <w:sz w:val="28"/>
        </w:rPr>
        <w:t>ение» (147,9 млн рублей); «деятельность по операциям с недвижимым имуществом» (100,8 млн рублей).</w:t>
      </w:r>
    </w:p>
    <w:p w:rsidR="00A40196" w:rsidRDefault="00F4406C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>Отрицательный сальдированный результат сложился по следующим основным видам экономической деятельности: «обрабатывающие производства» (-48,5 млн рублей); «вод</w:t>
      </w:r>
      <w:r>
        <w:rPr>
          <w:rFonts w:ascii="Times New Roman" w:hAnsi="Times New Roman"/>
          <w:sz w:val="28"/>
        </w:rPr>
        <w:t xml:space="preserve">оснабжение; водоотведение, организация сбора и утилизации отходов, деятельность по ликвидации загрязнений» (-60,4 млн рублей); «деятельность гостиниц и предприятий общественного питания» (-313,9 млн </w:t>
      </w:r>
      <w:r>
        <w:rPr>
          <w:rFonts w:ascii="Times New Roman" w:hAnsi="Times New Roman"/>
          <w:sz w:val="28"/>
        </w:rPr>
        <w:lastRenderedPageBreak/>
        <w:t>рублей); «деятельность профессиональная, научная и технич</w:t>
      </w:r>
      <w:r>
        <w:rPr>
          <w:rFonts w:ascii="Times New Roman" w:hAnsi="Times New Roman"/>
          <w:sz w:val="28"/>
        </w:rPr>
        <w:t>еская» (-89,5 млн рублей); «деятельность административная и сопутствующие дополнительные услуги» (-64,1 млн рублей).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Удельный вес убыточных организаций в общем числе организаций составил 42,1% от их общего числа.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Дебиторская задолженность по состоянию на 0</w:t>
      </w:r>
      <w:r>
        <w:rPr>
          <w:rFonts w:ascii="Times New Roman" w:hAnsi="Times New Roman"/>
          <w:sz w:val="28"/>
        </w:rPr>
        <w:t>1.07.2024 составила 111 674,4 млн рублей, что на 3,7% выше, чем на 01.07.2023. Удельный вес просроченной дебиторской задолженности в общем объеме задолженности на 01.07.2023 составил 5,2%. Объем просроченной дебиторской задолженности по сравнению с аналоги</w:t>
      </w:r>
      <w:r>
        <w:rPr>
          <w:rFonts w:ascii="Times New Roman" w:hAnsi="Times New Roman"/>
          <w:sz w:val="28"/>
        </w:rPr>
        <w:t>чным периодом прошлого года уменьшился на 26,3% и составил 5 765,3 млн рублей.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Кредиторская задолженность по состоянию на 01.07.2024 составила 105 248,8 млн рублей, что на 5,0% выше, чем на 01.07.2023. Удельный вес просроченной кредиторской задолженности в</w:t>
      </w:r>
      <w:r>
        <w:rPr>
          <w:rFonts w:ascii="Times New Roman" w:hAnsi="Times New Roman"/>
          <w:sz w:val="28"/>
        </w:rPr>
        <w:t xml:space="preserve"> общем объеме задолженности на 01.07.2023 составил 3,1%. Объем просроченной кредиторской задолженности по сравнению с аналогичным периодом прошлого года увеличился в 2,6 раза и составил 3 221,9 млн рублей.</w:t>
      </w:r>
    </w:p>
    <w:p w:rsidR="00A40196" w:rsidRDefault="00A40196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A40196" w:rsidRDefault="00F4406C">
      <w:pPr>
        <w:keepNext/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СФЕРА МАТЕРИАЛЬНОГО ПРОИЗВОДСТВА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Оборот организац</w:t>
      </w:r>
      <w:r>
        <w:rPr>
          <w:rFonts w:ascii="Times New Roman" w:hAnsi="Times New Roman"/>
          <w:sz w:val="28"/>
        </w:rPr>
        <w:t>ий по всем видам экономической деятельности за январь–июнь 2024 года составил 275 531,6 млн рублей, вырос на 10,1% к январю–июню 2023 года.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Отмечен рост промышленного производства, объема строительных работ, ввода в действие жилых домов, объема платных усл</w:t>
      </w:r>
      <w:r>
        <w:rPr>
          <w:rFonts w:ascii="Times New Roman" w:hAnsi="Times New Roman"/>
          <w:sz w:val="28"/>
        </w:rPr>
        <w:t>уг населению, оборота розничной торговли, пассажиро- и грузооборота автомобильного транспорта.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Зафиксирован спад сельского хозяйства, инвестиций в основной капитал, оборота общественного питания и оптовой торговли.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Индекс промышленного производства состави</w:t>
      </w:r>
      <w:r>
        <w:rPr>
          <w:rFonts w:ascii="Times New Roman" w:hAnsi="Times New Roman"/>
          <w:sz w:val="28"/>
        </w:rPr>
        <w:t>л 104,2%. Отмечается рост в добывающей промышленности на 23,2%, обрабатывающих производствах на 0,6%, в деятельности организаций по обеспечению электрической энергией, газом и паром; кондиционированию воздуха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sz w:val="28"/>
        </w:rPr>
        <w:t>– 3,6%. Отрицательная динамика наблюдается в во</w:t>
      </w:r>
      <w:r>
        <w:rPr>
          <w:rFonts w:ascii="Times New Roman" w:hAnsi="Times New Roman"/>
          <w:sz w:val="28"/>
        </w:rPr>
        <w:t>доснабжении, водоотведении, организации сбора и утилизации отходов, ликвидации загрязнений (-0,1%).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Предприятиями, осуществляющими добычу полезных ископаемых, отгружено продукции на 30 630,0 млн рублей (171,3% к январю–июню 2023 года в действующих ценах). </w:t>
      </w:r>
      <w:r>
        <w:rPr>
          <w:rFonts w:ascii="Times New Roman" w:hAnsi="Times New Roman"/>
          <w:sz w:val="28"/>
        </w:rPr>
        <w:t>Индекс производства составил 123,2%, что обусловлено ростом добычи металлических руд на 24,2% (золото и серебро) АО «ТСГ Асача» на Асачинском месторождении, АО «Камчатское золото» на Бараньевском месторождении, АО «Аметистовое» на Аметистовом месторождении</w:t>
      </w:r>
      <w:r>
        <w:rPr>
          <w:rFonts w:ascii="Times New Roman" w:hAnsi="Times New Roman"/>
          <w:sz w:val="28"/>
        </w:rPr>
        <w:t>, АО «СиГМА» на Озерновском месторождении.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обрабатывающих производствах отгружено товаров собственного производства на сумму 73 640,6 млн рублей или 116,7% по отношению к январю-июню 2023 года, индекс производства составил 100,6%.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Индекс производства </w:t>
      </w:r>
      <w:r>
        <w:rPr>
          <w:rFonts w:ascii="Times New Roman" w:hAnsi="Times New Roman"/>
          <w:sz w:val="28"/>
        </w:rPr>
        <w:t>пищевых продуктов составил 102,0% к январю–июню 2023 года, объем отгруженной продукции составил 68 348,9 млн рублей (115,9% к январю-июню 2023 года).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Рыбы переработанной и консервированной, ракообразных и моллюсков произведено 569,5тыс. тонн или 104,3% к я</w:t>
      </w:r>
      <w:r>
        <w:rPr>
          <w:rFonts w:ascii="Times New Roman" w:hAnsi="Times New Roman"/>
          <w:sz w:val="28"/>
        </w:rPr>
        <w:t>нварю–июню 2023 года.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Рыбодобывающими предприятиями Камчатского края выловлено 791,6 тыс. тонн рыбы и морепродуктов (103,9% к январю–июню 2023 года). </w:t>
      </w:r>
      <w:r>
        <w:rPr>
          <w:rFonts w:ascii="Times New Roman" w:hAnsi="Times New Roman"/>
          <w:sz w:val="28"/>
        </w:rPr>
        <w:t>Увеличение объемов вылова отмечается по сардине иваси в 3,7 раза, кальмару в 1,8 раза, терпугам в 1,7 раз,</w:t>
      </w:r>
      <w:r>
        <w:rPr>
          <w:rFonts w:ascii="Times New Roman" w:hAnsi="Times New Roman"/>
          <w:sz w:val="28"/>
        </w:rPr>
        <w:t xml:space="preserve"> наваге в 1,4 раза, тихоокеанской сельди в 1,3 раза, палтусу в 1,3 раза.</w:t>
      </w:r>
      <w:r>
        <w:rPr>
          <w:rFonts w:ascii="Times New Roman" w:hAnsi="Times New Roman"/>
          <w:sz w:val="28"/>
        </w:rPr>
        <w:t xml:space="preserve"> 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8"/>
        </w:rPr>
        <w:t>На предприятиях по обеспечению электрической энергией, газом и паром отгружено продукции собственного производства на сумму 14 663,2 млн рублей, что составляет 101,3% к январю–июню 2</w:t>
      </w:r>
      <w:r>
        <w:rPr>
          <w:rFonts w:ascii="Times New Roman" w:hAnsi="Times New Roman"/>
          <w:sz w:val="28"/>
        </w:rPr>
        <w:t>023 года, индекс производства составил 103,6%. Производство электроэнергии увеличилось на 5,9% к январю–июню 2023 года и составило 1 134,2 млн кВт-ч. Производство тепловой энергии, пара и горячей воды увеличилось на 1,2% (произведено 2 163,0 тыс. Гкал.).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бъем отгруженных товаров предприятиями водоснабжения; водоотведения, сбора и утилизации отходов составил 2 089,7 млн рублей (108,4% к январю–июню 2023 года), индекс производства составил 99,9%, в том числе индекс производства по забору, очистке и распредел</w:t>
      </w:r>
      <w:r>
        <w:rPr>
          <w:rFonts w:ascii="Times New Roman" w:hAnsi="Times New Roman"/>
          <w:sz w:val="28"/>
        </w:rPr>
        <w:t>ению воды составил 102,3%, по сбору и обработке сточных вод – 89,2%, по сбору, обработке и утилизации отходов; обработки вторичного сырья  –  104,2%.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отгруженных товаров собственного производства, выполненных работ и услуг собственными силами по виду</w:t>
      </w:r>
      <w:r>
        <w:rPr>
          <w:rFonts w:ascii="Times New Roman" w:hAnsi="Times New Roman"/>
          <w:sz w:val="28"/>
        </w:rPr>
        <w:t xml:space="preserve"> деятельности «Добыча полезных ископаемых» по оценке в 2024 году сложится в размере 54 310,2 млн руб. Индекс производства оценивается на уровне 101,5%. 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обрабатывающих производствах объем отгруженных товаров собственного производства в 2024 году оценивае</w:t>
      </w:r>
      <w:r>
        <w:rPr>
          <w:rFonts w:ascii="Times New Roman" w:hAnsi="Times New Roman"/>
          <w:sz w:val="28"/>
        </w:rPr>
        <w:t xml:space="preserve">тся в размере 171 046,8 млн руб. Индекс производства составит 91,9%. Объем отгруженной продукции по производству пищевых продуктов по оценке в 2024 году сложится в объеме 159 778,0 млн руб., индекс производства продукции оценивается в 91,2%. 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предприяти</w:t>
      </w:r>
      <w:r>
        <w:rPr>
          <w:rFonts w:ascii="Times New Roman" w:hAnsi="Times New Roman"/>
          <w:sz w:val="28"/>
        </w:rPr>
        <w:t xml:space="preserve">ях по обеспечению электрической энергией, газом и паром; кондиционированием воздуха объем отгруженной продукции в 2024 году оценивается в размере 28 275,4 млн руб., индекс производства составит 102,6% к уровню 2023 года. Электростанциями будет произведено </w:t>
      </w:r>
      <w:r>
        <w:rPr>
          <w:rFonts w:ascii="Times New Roman" w:hAnsi="Times New Roman"/>
          <w:sz w:val="28"/>
        </w:rPr>
        <w:t xml:space="preserve">2 158,6 млн кВт/час электроэнергии (103,0%). </w:t>
      </w:r>
    </w:p>
    <w:p w:rsidR="00A40196" w:rsidRDefault="00F440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отгруженной продукции предприятиями водоснабжения, водоотведения, организации сбора и утилизации отходов, деятельности по ликвидации загрязнений в 2024 году оценивается в размере 4 477,6 млн руб., индекс </w:t>
      </w:r>
      <w:r>
        <w:rPr>
          <w:rFonts w:ascii="Times New Roman" w:hAnsi="Times New Roman"/>
          <w:sz w:val="28"/>
        </w:rPr>
        <w:t>производства составит 102,8% к уровню 2023 года.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Грузооборот автомобильного транспорта за январь–июнь 2024 года составил 22,7 млн т-км (272,6% к январю–июню 2023 года). Объем перевезенного груза автомобильным транспортом составил 1 721,1 тыс. тонн (225,4% </w:t>
      </w:r>
      <w:r>
        <w:rPr>
          <w:rFonts w:ascii="Times New Roman" w:hAnsi="Times New Roman"/>
          <w:sz w:val="28"/>
        </w:rPr>
        <w:t xml:space="preserve">к январю–июню 2023 года). 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Пассажирооборот автомобильного транспорта за январь–июнь 2023 года составил 146,7 млн пасс.-км (104,6% к январю–июню 2023 года). Число перевезенных пассажиров автомобильным транспортом составило 16,5 млн человек (97,8% к январю–и</w:t>
      </w:r>
      <w:r>
        <w:rPr>
          <w:rFonts w:ascii="Times New Roman" w:hAnsi="Times New Roman"/>
          <w:sz w:val="28"/>
        </w:rPr>
        <w:t>юню 2023 года).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перевезенного груза на морском транспорте составил 309,0 тыс. тонн (118,5 % к январю–июню 2023 года). Грузооборот морского транспорта увеличился в 1,2 раза и составил 611,7 млн т-км. </w:t>
      </w:r>
      <w:r>
        <w:rPr>
          <w:rFonts w:ascii="Times New Roman" w:hAnsi="Times New Roman"/>
          <w:sz w:val="28"/>
        </w:rPr>
        <w:t>Рост в каботажном плавании увеличился на 5,1%, в за</w:t>
      </w:r>
      <w:r>
        <w:rPr>
          <w:rFonts w:ascii="Times New Roman" w:hAnsi="Times New Roman"/>
          <w:sz w:val="28"/>
        </w:rPr>
        <w:t>граничном плавании – в 2,0 раза к январю–июню 2023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года. 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Объем производства сельскохозяйственной продукции в январе–июне 2024 года составил 5 682,4 млн рублей (92,3% к январю–июню 2023 года в сопоставимых ценах).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В январе–июне 2024 года в сельскохозяйстве</w:t>
      </w:r>
      <w:r>
        <w:rPr>
          <w:rFonts w:ascii="Times New Roman" w:hAnsi="Times New Roman"/>
          <w:sz w:val="28"/>
        </w:rPr>
        <w:t>нных организациях Камчатского края ситуация в сфере животноводства сложилась следующим образом: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– производство мяса составило 4,0 тыс. тонн (86,9% к январю–июню 2023 года);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– производство яйца уменьшилось на 6,8%, яйценоскость кур-несушек составила 97,1% к</w:t>
      </w:r>
      <w:r>
        <w:rPr>
          <w:rFonts w:ascii="Times New Roman" w:hAnsi="Times New Roman"/>
          <w:sz w:val="28"/>
        </w:rPr>
        <w:t xml:space="preserve"> январю–июню 2023 года;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– производство молока составило 10,7 тыс. тонн (94,9% к январю–июню 2023 года). Средний надой молока на одну корову снизился на 0,8%.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По оценке в 2024 году валовая продукция сельского хозяйства в сопоставимых ценах снизится к уровню</w:t>
      </w:r>
      <w:r>
        <w:rPr>
          <w:rFonts w:ascii="Times New Roman" w:hAnsi="Times New Roman"/>
          <w:sz w:val="28"/>
        </w:rPr>
        <w:t xml:space="preserve"> предшествующего года на 0,2% и составит 11 925,9 млн рублей. 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Валовая продукция животноводства в 2024 году составит 6 828,7 млн руб. (99,6% к 2023 году в сопоставимых ценах), растениеводства – 5 097,2 млн руб. (100,1% к 2023 году в сопоставимых ценах).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данным Единого Реестра субъектов малого и среднего предпринимательства по состоянию на 10 июля 2024 года зарегистрировано 14 742 субъекта малого и среднего предпринимательства, что на 1,4% больше, чем на 10 июля 2023 года. Из них 14 184 микропредприятия, </w:t>
      </w:r>
      <w:r>
        <w:rPr>
          <w:rFonts w:ascii="Times New Roman" w:hAnsi="Times New Roman"/>
          <w:sz w:val="28"/>
        </w:rPr>
        <w:t xml:space="preserve">502 малых предприятия, 56 средних предприятий. Юридических лиц – 5 103 субъекта и 9 639 индивидуальных предпринимателей. 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Отраслевая структура малого и среднего бизнеса на протяжении последних лет остается практически неизменной. Наибольшая часть экономиче</w:t>
      </w:r>
      <w:r>
        <w:rPr>
          <w:rFonts w:ascii="Times New Roman" w:hAnsi="Times New Roman"/>
          <w:sz w:val="28"/>
        </w:rPr>
        <w:t>ски активных субъектов малого и среднего предпринимательства сконцентрирована в сфере оптовой и розничной торговли, ремонта автотранспортных средств, строительства, транспортировки и хранения, обрабатывающих производств, деятельности по операциям с недвижи</w:t>
      </w:r>
      <w:r>
        <w:rPr>
          <w:rFonts w:ascii="Times New Roman" w:hAnsi="Times New Roman"/>
          <w:sz w:val="28"/>
        </w:rPr>
        <w:t>мым имуществом.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Наибольшее число малых предприятий зарегистрировано в городской местности Камчатского края, что объясняется преимуществами транспортной инфраструктуры, возможностями потребительского рынка.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Доля среднесписочной численности работников (без в</w:t>
      </w:r>
      <w:r>
        <w:rPr>
          <w:rFonts w:ascii="Times New Roman" w:hAnsi="Times New Roman"/>
          <w:sz w:val="28"/>
        </w:rPr>
        <w:t xml:space="preserve">нешних совместителей) субъектов малого (включая микропредприятия) и среднего предпринимательства в среднесписочной численности работников (без внешних совместителей) всех предприятий и организаций составляет 22,3%. 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lastRenderedPageBreak/>
        <w:t>В I полугодии 2024 года оборот малых пре</w:t>
      </w:r>
      <w:r>
        <w:rPr>
          <w:rFonts w:ascii="Times New Roman" w:hAnsi="Times New Roman"/>
          <w:sz w:val="28"/>
        </w:rPr>
        <w:t>дприятий (без микропредприятий) сформировался в размере 32 727,9 млн рублей (107,3% к уровню I полугодия 2023 года), оборот средних предприятий – 17 806,9 млн рублей (151,8% к уровню I полугодия 2023 года).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Наибольшее количество индивидуальных предпринимат</w:t>
      </w:r>
      <w:r>
        <w:rPr>
          <w:rFonts w:ascii="Times New Roman" w:hAnsi="Times New Roman"/>
          <w:sz w:val="28"/>
        </w:rPr>
        <w:t xml:space="preserve">елей осуществляют предпринимательскую деятельность в торговле – 37,3%, транспортировке и хранении – 9,5%, в сфере деятельности гостиниц и предприятий общественного питания – 5,0%, в строительстве – 9,9% и на обрабатывающих производствах – 5,9%. 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В 2024 год</w:t>
      </w:r>
      <w:r>
        <w:rPr>
          <w:rFonts w:ascii="Times New Roman" w:hAnsi="Times New Roman"/>
          <w:sz w:val="28"/>
        </w:rPr>
        <w:t xml:space="preserve">у количество малых и средних предприятий, включая микропредприятия, по предварительной оценке, составит 5 223 единицы. 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Среднесписочная численность работников малых (с учетом микропредприятий) и средних предприятий в 2024 году составит 24,7 тыс. человек. 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Сохранению экономической стабильности, обеспечению темпов экономического роста в Камчатском крае будет способствовать улучшение условий ведения предпринимательской деятельности, в том числе посредством реализации на территории Камчатского края региональной</w:t>
      </w:r>
      <w:r>
        <w:rPr>
          <w:rFonts w:ascii="Times New Roman" w:hAnsi="Times New Roman"/>
          <w:sz w:val="28"/>
        </w:rPr>
        <w:t xml:space="preserve"> составляющей национального проекта «Малое и среднее предпринимательство и поддержка индивидуальной предпринимательской инициативы».</w:t>
      </w:r>
    </w:p>
    <w:p w:rsidR="00A40196" w:rsidRDefault="00A40196">
      <w:pPr>
        <w:keepNext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A40196" w:rsidRDefault="00F4406C">
      <w:pPr>
        <w:keepNext/>
        <w:spacing w:after="0" w:line="240" w:lineRule="auto"/>
        <w:ind w:firstLine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ВНЕШНЕЭКОНОМИЧЕСКАЯ ДЕЯТЕЛЬНОСТЬ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Наибольшую долю в объеме экспорта формирует рыбная продукция. В структуре импорта товаров наибольшую долю занимают машиностроительная продукция, минеральные продукты и топливно-энергетические товары. 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прогнозной оценке, внешнеторговый оборот (без учета </w:t>
      </w:r>
      <w:r>
        <w:rPr>
          <w:rFonts w:ascii="Times New Roman" w:hAnsi="Times New Roman"/>
          <w:sz w:val="28"/>
        </w:rPr>
        <w:t>услуг) в 2024 году составит 1 578,5 млн долларов США. Объем экспорта товаров оценивается в размере 1 405,5 млн долларов США, объем импорта товаров – 173,0 млн долларов США.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Основной объем экспорта в 2024 году придется на страны дальнего зарубежья. Основную</w:t>
      </w:r>
      <w:r>
        <w:rPr>
          <w:rFonts w:ascii="Times New Roman" w:hAnsi="Times New Roman"/>
          <w:sz w:val="28"/>
        </w:rPr>
        <w:t xml:space="preserve"> долю в объеме экспорта товаров по-прежнему будет формировать рыбная продукция (не менее 90%). Практически весь объем экспортных и импортных операций Камчатского края будет осуществляться со странами вне СНГ (не менее 99%). Основными торговыми партнерами К</w:t>
      </w:r>
      <w:r>
        <w:rPr>
          <w:rFonts w:ascii="Times New Roman" w:hAnsi="Times New Roman"/>
          <w:sz w:val="28"/>
        </w:rPr>
        <w:t>амчатского края останутся страны Азиатско-Тихоокеанского региона.</w:t>
      </w:r>
    </w:p>
    <w:p w:rsidR="00A40196" w:rsidRDefault="00A40196">
      <w:pPr>
        <w:keepNext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A40196" w:rsidRDefault="00F4406C">
      <w:pPr>
        <w:keepNext/>
        <w:spacing w:after="0" w:line="240" w:lineRule="auto"/>
        <w:ind w:firstLine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ИНВЕСТИЦИОННАЯ ДЕЯТЕЛЬНОСТЬ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Объём инвестиций в основной капитал по полному кругу хозяйствующих субъектов, по оценке, за 1 полугодие 2024 года составил 30 785,9 млн рублей или 80,0% к 1 полу</w:t>
      </w:r>
      <w:r>
        <w:rPr>
          <w:rFonts w:ascii="Times New Roman" w:hAnsi="Times New Roman"/>
          <w:sz w:val="28"/>
        </w:rPr>
        <w:t>годию 2023 года (в сопоставимой оценке).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2024 году общий объем инвестиций в основной капитал оценивается в объеме 137 694,9 млн руб. (99,3% к 2023 году в сопоставимой оценке) при индексе-дефляторе 108,2%. 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Объём работ, выполненных по виду экономической д</w:t>
      </w:r>
      <w:r>
        <w:rPr>
          <w:rFonts w:ascii="Times New Roman" w:hAnsi="Times New Roman"/>
          <w:sz w:val="28"/>
        </w:rPr>
        <w:t xml:space="preserve">еятельности «Строительство» в январе–июне 2024 года составил 12 928,3 млн рублей, что в сопоставимой оценке составляет 105,5 % относительно показателя за аналогичный </w:t>
      </w:r>
      <w:r>
        <w:rPr>
          <w:rFonts w:ascii="Times New Roman" w:hAnsi="Times New Roman"/>
          <w:sz w:val="28"/>
        </w:rPr>
        <w:lastRenderedPageBreak/>
        <w:t>период предыдущего года. В 2024 году продолжается строительство крупных инвестиционных объ</w:t>
      </w:r>
      <w:r>
        <w:rPr>
          <w:rFonts w:ascii="Times New Roman" w:hAnsi="Times New Roman"/>
          <w:sz w:val="28"/>
        </w:rPr>
        <w:t>ектов (краевая больница, театр кукол, автомобильная дорога регионального значения Камчатского края «п. Термальный – туристский кластер «Три вулкана», учебный корпус средней школы № 40, здание аэропорта, крупные внебюджетные инвестиционные проекты в сфере д</w:t>
      </w:r>
      <w:r>
        <w:rPr>
          <w:rFonts w:ascii="Times New Roman" w:hAnsi="Times New Roman"/>
          <w:sz w:val="28"/>
        </w:rPr>
        <w:t>обычи полезных ископаемых). Факторы, способствующие значительному снижению объема работ в строительстве, отсутствуют.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январь–июнь 2024 года на территории Камчатского края введено в действие жилых домов (с учетом жилых домов, построенных на земельных уча</w:t>
      </w:r>
      <w:r>
        <w:rPr>
          <w:rFonts w:ascii="Times New Roman" w:hAnsi="Times New Roman"/>
          <w:sz w:val="28"/>
        </w:rPr>
        <w:t xml:space="preserve">стках, предназначенных для ведения гражданами садоводства) общей площадью 40,3 тыс. кв. метров (102,4% к аналогичному периоду 2023 года), в том числе, построенных населением за счет собственных и привлеченных средств </w:t>
      </w:r>
      <w:r>
        <w:rPr>
          <w:rFonts w:ascii="Times New Roman" w:hAnsi="Times New Roman"/>
          <w:sz w:val="28"/>
        </w:rPr>
        <w:br/>
        <w:t>40,0 тыс. кв. метров (123,7% к аналоги</w:t>
      </w:r>
      <w:r>
        <w:rPr>
          <w:rFonts w:ascii="Times New Roman" w:hAnsi="Times New Roman"/>
          <w:sz w:val="28"/>
        </w:rPr>
        <w:t>чному периоду 2023 года).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Постановлением Правительства Камчатского края от 23.11.2023 № 585-П «Об утверждении инвестиционной программы Камчатского края на 2024 год и на плановый период 2025–2026 годов и прогнозный период 2027–2028 годов» (далее – Инвестици</w:t>
      </w:r>
      <w:r>
        <w:rPr>
          <w:rFonts w:ascii="Times New Roman" w:hAnsi="Times New Roman"/>
          <w:sz w:val="28"/>
        </w:rPr>
        <w:t>онная программа) утвержден перечень краевых инвестиционных мероприятий (объектов).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В 2024 году на реализацию инвестиционных мероприятий предусмотрены ассигнования за счет всех источников финансирования в сумме 26 884,74 млн рублей, в том числе за счет сред</w:t>
      </w:r>
      <w:r>
        <w:rPr>
          <w:rFonts w:ascii="Times New Roman" w:hAnsi="Times New Roman"/>
          <w:sz w:val="28"/>
        </w:rPr>
        <w:t>ств федерального бюджета – 16 483,92 млн рублей (61,3%), краевого бюджета – 7 321,00 млн рублей (27,2%), Фонда развития территорий – 1 259,82 млн рублей (4,7%).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В рамках Инвестиционной программы ведется строительство значимых для Камчатского края объектов,</w:t>
      </w:r>
      <w:r>
        <w:rPr>
          <w:rFonts w:ascii="Times New Roman" w:hAnsi="Times New Roman"/>
          <w:sz w:val="28"/>
        </w:rPr>
        <w:t xml:space="preserve"> в том числе: </w:t>
      </w:r>
    </w:p>
    <w:p w:rsidR="00A40196" w:rsidRDefault="00F4406C">
      <w:pPr>
        <w:numPr>
          <w:ilvl w:val="0"/>
          <w:numId w:val="1"/>
        </w:numPr>
        <w:spacing w:after="0" w:line="240" w:lineRule="auto"/>
        <w:ind w:left="0" w:firstLine="68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строительство камчатской краевой больницы, техническая готовность объекта на отчетную дату составила 68%;</w:t>
      </w:r>
    </w:p>
    <w:p w:rsidR="00A40196" w:rsidRDefault="00F4406C">
      <w:pPr>
        <w:numPr>
          <w:ilvl w:val="0"/>
          <w:numId w:val="1"/>
        </w:numPr>
        <w:spacing w:after="0" w:line="240" w:lineRule="auto"/>
        <w:ind w:left="0" w:firstLine="68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реализуются 18 мероприятий на проектные и строительные работы (фельдшерско-акушерские пункты, офисы врача общей практики и районные больницы); </w:t>
      </w:r>
    </w:p>
    <w:p w:rsidR="00A40196" w:rsidRDefault="00F4406C">
      <w:pPr>
        <w:numPr>
          <w:ilvl w:val="0"/>
          <w:numId w:val="1"/>
        </w:numPr>
        <w:spacing w:after="0" w:line="240" w:lineRule="auto"/>
        <w:ind w:left="0" w:firstLine="68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продолжилось строительство камчатского театра кукол г. Петропавловск-Камчатский на 350 мест, срок выполнения раб</w:t>
      </w:r>
      <w:r>
        <w:rPr>
          <w:rFonts w:ascii="Times New Roman" w:hAnsi="Times New Roman"/>
          <w:sz w:val="28"/>
        </w:rPr>
        <w:t>от 01.12.2024;</w:t>
      </w:r>
    </w:p>
    <w:p w:rsidR="00A40196" w:rsidRDefault="00F4406C">
      <w:pPr>
        <w:numPr>
          <w:ilvl w:val="0"/>
          <w:numId w:val="1"/>
        </w:numPr>
        <w:spacing w:after="0" w:line="240" w:lineRule="auto"/>
        <w:ind w:left="0" w:firstLine="68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продолжилось строительство комплекса многоквартирных жилых домов в жилом районе Приморский города Вилючинска, строительство поэтапное, в текущем году ведутся работы третьего этапа, мощность объекта – 270 квартир, по информации Минстроя Камча</w:t>
      </w:r>
      <w:r>
        <w:rPr>
          <w:rFonts w:ascii="Times New Roman" w:hAnsi="Times New Roman"/>
          <w:sz w:val="28"/>
        </w:rPr>
        <w:t>тского края техническая готовность 3-го этапа – 63,88%, общая готовность – 76,9%;</w:t>
      </w:r>
    </w:p>
    <w:p w:rsidR="00A40196" w:rsidRDefault="00F4406C">
      <w:pPr>
        <w:numPr>
          <w:ilvl w:val="0"/>
          <w:numId w:val="1"/>
        </w:numPr>
        <w:spacing w:after="0" w:line="240" w:lineRule="auto"/>
        <w:ind w:left="0" w:firstLine="68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продолжилось строительство автомобильной дороги общего пользования регионального значения Камчатского края «п. Термальный – туристский кластер «Три вулкана» (1–3 этапы), прот</w:t>
      </w:r>
      <w:r>
        <w:rPr>
          <w:rFonts w:ascii="Times New Roman" w:hAnsi="Times New Roman"/>
          <w:sz w:val="28"/>
        </w:rPr>
        <w:t>яженностью 32,063 км, окончание работ 30.10.2025;</w:t>
      </w:r>
    </w:p>
    <w:p w:rsidR="00A40196" w:rsidRDefault="00F4406C">
      <w:pPr>
        <w:numPr>
          <w:ilvl w:val="0"/>
          <w:numId w:val="1"/>
        </w:numPr>
        <w:spacing w:after="0" w:line="240" w:lineRule="auto"/>
        <w:ind w:left="0" w:firstLine="68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осуществляется строительство автомобильной дороги от пос. Заозерный до Халактырского пляжа протяженностью 4,49 км, окончание работ по контракту 30.11.2024;</w:t>
      </w:r>
    </w:p>
    <w:p w:rsidR="00A40196" w:rsidRDefault="00F4406C">
      <w:pPr>
        <w:numPr>
          <w:ilvl w:val="0"/>
          <w:numId w:val="1"/>
        </w:numPr>
        <w:spacing w:after="0" w:line="240" w:lineRule="auto"/>
        <w:ind w:left="0" w:firstLine="68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lastRenderedPageBreak/>
        <w:t>продолжилось строительство средней школы № 40 по у</w:t>
      </w:r>
      <w:r>
        <w:rPr>
          <w:rFonts w:ascii="Times New Roman" w:hAnsi="Times New Roman"/>
          <w:sz w:val="28"/>
        </w:rPr>
        <w:t>л. Вольского микрорайона «Северо-Восток» в г. Петропавловске-Камчатском на 500 мест со сроком исполнения до 04.12.2024, техническая готовность объекта 79,06%;</w:t>
      </w:r>
    </w:p>
    <w:p w:rsidR="00A40196" w:rsidRDefault="00F4406C">
      <w:pPr>
        <w:numPr>
          <w:ilvl w:val="0"/>
          <w:numId w:val="1"/>
        </w:numPr>
        <w:spacing w:after="0" w:line="240" w:lineRule="auto"/>
        <w:ind w:left="0" w:firstLine="68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ведутся работы по сохранению объекта культурного наследия регионального значения «Дом № 13 по ул.</w:t>
      </w:r>
      <w:r>
        <w:rPr>
          <w:rFonts w:ascii="Times New Roman" w:hAnsi="Times New Roman"/>
          <w:sz w:val="28"/>
        </w:rPr>
        <w:t xml:space="preserve"> Красинцев в г. Петропавловске-Камчатском»;</w:t>
      </w:r>
    </w:p>
    <w:p w:rsidR="00A40196" w:rsidRDefault="00F4406C">
      <w:pPr>
        <w:numPr>
          <w:ilvl w:val="0"/>
          <w:numId w:val="1"/>
        </w:numPr>
        <w:spacing w:after="0" w:line="240" w:lineRule="auto"/>
        <w:ind w:left="0" w:firstLine="68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продолжились строительные работы на объекте «Водовод с водозабором в с. Тигиль», срок окончания работ по контракту 01.11.2024;</w:t>
      </w:r>
    </w:p>
    <w:p w:rsidR="00A40196" w:rsidRDefault="00F4406C">
      <w:pPr>
        <w:numPr>
          <w:ilvl w:val="0"/>
          <w:numId w:val="1"/>
        </w:numPr>
        <w:spacing w:after="0" w:line="240" w:lineRule="auto"/>
        <w:ind w:left="0" w:firstLine="68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планируется реализация мероприятия «Регазификационный комплекс СПГ в Камчатском крае»</w:t>
      </w:r>
      <w:r>
        <w:rPr>
          <w:rFonts w:ascii="Times New Roman" w:hAnsi="Times New Roman"/>
          <w:sz w:val="28"/>
        </w:rPr>
        <w:t>, мощность 446 тонн в год;</w:t>
      </w:r>
    </w:p>
    <w:p w:rsidR="00A40196" w:rsidRDefault="00F4406C">
      <w:pPr>
        <w:numPr>
          <w:ilvl w:val="0"/>
          <w:numId w:val="1"/>
        </w:numPr>
        <w:spacing w:after="0" w:line="240" w:lineRule="auto"/>
        <w:ind w:left="0" w:firstLine="68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реализуются мероприятия по переселению граждан из аварийного жилищного фонда признанного таковым в период с 1 января 2017 года до 1 января 2022 года;</w:t>
      </w:r>
    </w:p>
    <w:p w:rsidR="00A40196" w:rsidRDefault="00F4406C">
      <w:pPr>
        <w:numPr>
          <w:ilvl w:val="0"/>
          <w:numId w:val="1"/>
        </w:numPr>
        <w:spacing w:after="0" w:line="240" w:lineRule="auto"/>
        <w:ind w:left="0" w:firstLine="68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начато строительство учебного корпуса МБОУ «Елизовская средняя школа №1 им.М.В.</w:t>
      </w:r>
      <w:r>
        <w:rPr>
          <w:rFonts w:ascii="Times New Roman" w:hAnsi="Times New Roman"/>
          <w:sz w:val="28"/>
        </w:rPr>
        <w:t xml:space="preserve"> Ломоносова» на 500 учащихся, окончание работ 30.11.2025</w:t>
      </w:r>
      <w:r>
        <w:rPr>
          <w:rFonts w:ascii="Times New Roman" w:hAnsi="Times New Roman"/>
        </w:rPr>
        <w:t>;</w:t>
      </w:r>
    </w:p>
    <w:p w:rsidR="00A40196" w:rsidRDefault="00F4406C">
      <w:pPr>
        <w:numPr>
          <w:ilvl w:val="0"/>
          <w:numId w:val="1"/>
        </w:numPr>
        <w:spacing w:after="0" w:line="240" w:lineRule="auto"/>
        <w:ind w:left="0"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получено положительное заключение государственной экспертизы на проектную документацию детского и молодежного научно-образовательного центра «Восход» (ДОЛ им. Ю.А. Гагарина), заключен государственны</w:t>
      </w:r>
      <w:r>
        <w:rPr>
          <w:rFonts w:ascii="Times New Roman" w:hAnsi="Times New Roman"/>
          <w:sz w:val="28"/>
        </w:rPr>
        <w:t>й контракт с единственным поставщиком ООО «Хорс»;</w:t>
      </w:r>
    </w:p>
    <w:p w:rsidR="00A40196" w:rsidRDefault="00F4406C">
      <w:pPr>
        <w:numPr>
          <w:ilvl w:val="0"/>
          <w:numId w:val="1"/>
        </w:numPr>
        <w:spacing w:after="0" w:line="240" w:lineRule="auto"/>
        <w:ind w:left="0"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запланировано строительство автостанции регионального значения с реконструкцией имеющихся зданий и сооружений в Петропавловск-Камчатском городском округе.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Фактический объем финансирования за отчетный период</w:t>
      </w:r>
      <w:r>
        <w:rPr>
          <w:rFonts w:ascii="Times New Roman" w:hAnsi="Times New Roman"/>
          <w:sz w:val="28"/>
        </w:rPr>
        <w:t xml:space="preserve"> составил 5 620,49 млн рублей (20,9% от предусмотренного объема), в том числе за счет средств федерального бюджета – 4 436,04 млн рублей (26,9%), за счет средств краевого бюджета – 776,54 млн рублей (10,6%), Фонда развития территорий – 353,98 млн. рублей (</w:t>
      </w:r>
      <w:r>
        <w:rPr>
          <w:rFonts w:ascii="Times New Roman" w:hAnsi="Times New Roman"/>
          <w:sz w:val="28"/>
        </w:rPr>
        <w:t>28,1%).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Освоение на 01.07.2024 составило 5 720,82 млн рублей (21,3% от предусмотренного объема), в том числе за счет средств федерального бюджета – 4 536,80 млн рублей (27,5%), за счет средств краевого бюджета – 778,50 млн рублей (10,6%), Фонда развития те</w:t>
      </w:r>
      <w:r>
        <w:rPr>
          <w:rFonts w:ascii="Times New Roman" w:hAnsi="Times New Roman"/>
          <w:sz w:val="28"/>
        </w:rPr>
        <w:t>рриторий – 353,98 млн рублей (28,1%).</w:t>
      </w:r>
    </w:p>
    <w:p w:rsidR="00A40196" w:rsidRDefault="00A40196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</w:rPr>
      </w:pPr>
    </w:p>
    <w:p w:rsidR="00A40196" w:rsidRDefault="00F4406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ПОТРЕБИТЕЛЬСКИЙ РЫНОК</w:t>
      </w:r>
    </w:p>
    <w:p w:rsidR="00A40196" w:rsidRDefault="00F4406C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Оборот розничной торговли по всем каналам реализации в 1 полугодии 2024 года составил 53 255,2 млн рублей (106,6% к январю-июню 2023 года в сопоставимых ценах) и на 94,5% сформирован торгующими о</w:t>
      </w:r>
      <w:r>
        <w:rPr>
          <w:rFonts w:ascii="Times New Roman" w:hAnsi="Times New Roman"/>
          <w:sz w:val="28"/>
        </w:rPr>
        <w:t>рганизациями и индивидуальными предпринимателями, осуществляющими деятельность вне рынка.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I полугодии 2024 года в структуре оборота розничной торговли удельный вес пищевых продуктов, включая напитки, и табачных изделий составил 5</w:t>
      </w:r>
      <w:r>
        <w:rPr>
          <w:rFonts w:ascii="Times New Roman" w:hAnsi="Times New Roman"/>
          <w:spacing w:val="-2"/>
          <w:sz w:val="28"/>
        </w:rPr>
        <w:t>8,4%</w:t>
      </w:r>
      <w:r>
        <w:rPr>
          <w:rFonts w:ascii="Times New Roman" w:hAnsi="Times New Roman"/>
          <w:sz w:val="28"/>
        </w:rPr>
        <w:t>, непродовольственных</w:t>
      </w:r>
      <w:r>
        <w:rPr>
          <w:rFonts w:ascii="Times New Roman" w:hAnsi="Times New Roman"/>
          <w:sz w:val="28"/>
        </w:rPr>
        <w:t xml:space="preserve"> товаров – 41,6</w:t>
      </w:r>
      <w:r>
        <w:rPr>
          <w:rFonts w:ascii="Times New Roman" w:hAnsi="Times New Roman"/>
          <w:spacing w:val="-2"/>
          <w:sz w:val="28"/>
        </w:rPr>
        <w:t>%</w:t>
      </w:r>
      <w:r>
        <w:rPr>
          <w:rFonts w:ascii="Times New Roman" w:hAnsi="Times New Roman"/>
          <w:sz w:val="28"/>
        </w:rPr>
        <w:t xml:space="preserve">. 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2024 году число хозяйствующих субъектов, осуществляющих деятельность в сфере торговли, составляет 1 360 единиц, в том числе в розничной торговле – 664 единицы; количество объектов розничной торговли в Камчатском крае составляет 3 570</w:t>
      </w:r>
      <w:r>
        <w:rPr>
          <w:rFonts w:ascii="Times New Roman" w:hAnsi="Times New Roman"/>
          <w:sz w:val="28"/>
        </w:rPr>
        <w:t xml:space="preserve"> единиц.</w:t>
      </w:r>
    </w:p>
    <w:p w:rsidR="00A40196" w:rsidRDefault="00F4406C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По итогам 2024 года оборот розничной торговли, по предварительной оценке, увеличится на 6,0% к предыдущему году в сопоставимых ценах и составит 114 237,2 млн рублей.</w:t>
      </w:r>
    </w:p>
    <w:p w:rsidR="00A40196" w:rsidRDefault="00F4406C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Оборот общественного питания в январе–июне 2024 года составил 3 904,3 млн рублей (81,1% к январю–июню 2023 года в сопоставимых ценах). 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Платных услуг населению края оказано на 18 201,4 млн рублей (101,4% к январю–июню 2023 года в сопоставимых ценах). 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ст</w:t>
      </w:r>
      <w:r>
        <w:rPr>
          <w:rFonts w:ascii="Times New Roman" w:hAnsi="Times New Roman"/>
          <w:sz w:val="28"/>
        </w:rPr>
        <w:t>руктуре объема платных услуг населению, по-прежнему, преобладают: жилищные, коммунальные, телекоммуникационные и транспортные услуги. На их долю пришлось 72,0% общего объема потребляемых услуг. Удельный вес бытовых услуг в общем объеме платных услуг населе</w:t>
      </w:r>
      <w:r>
        <w:rPr>
          <w:rFonts w:ascii="Times New Roman" w:hAnsi="Times New Roman"/>
          <w:sz w:val="28"/>
        </w:rPr>
        <w:t>нию составил 6,2%. За январь–июнь 2023 года населению края оказано бытовых услуг на 1 126,3 млн рублей, что в сопоставимых ценах на 7,9% больше, чем в январе–июне 2023 года.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итогам I полугодия 2024 года отмечается рост по видам платных услуг в сопостави</w:t>
      </w:r>
      <w:r>
        <w:rPr>
          <w:rFonts w:ascii="Times New Roman" w:hAnsi="Times New Roman"/>
          <w:sz w:val="28"/>
        </w:rPr>
        <w:t>мых ценах: услугам гостиниц и аналогичных средств размещения на 22,5%, услугам культуры на 11,4%, услугам физической культуры и спорта на 10,7%, , туристским услугам на 6,2%, медицинским услугам на 3,3%, коммунальным услугам на 2,9%, жилищным услугам на 1,</w:t>
      </w:r>
      <w:r>
        <w:rPr>
          <w:rFonts w:ascii="Times New Roman" w:hAnsi="Times New Roman"/>
          <w:sz w:val="28"/>
        </w:rPr>
        <w:t>8%. Снижение наблюдается по услугам правового характера на 7,4%, услугам системы образования на 5,3%, транспортным услугам на 4,4%, услугам специализированных коллективных средствах размещения на 4,1%, медицинским услугам на 2,7%, телекоммуникационным услу</w:t>
      </w:r>
      <w:r>
        <w:rPr>
          <w:rFonts w:ascii="Times New Roman" w:hAnsi="Times New Roman"/>
          <w:sz w:val="28"/>
        </w:rPr>
        <w:t>гам на 1,8%, ветеринарным услугам на 0,7%.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платных услуг в 2024 году оценивается в 35 486,0 млн рублей, или 102,6% в сопоставимых ценах к уровню 2023 года. </w:t>
      </w:r>
    </w:p>
    <w:p w:rsidR="00A40196" w:rsidRDefault="00A4019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A40196" w:rsidRDefault="00F4406C">
      <w:pPr>
        <w:keepNext/>
        <w:spacing w:after="0" w:line="240" w:lineRule="auto"/>
        <w:ind w:firstLine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ДЕМОГРАФИЧЕСКАЯ СИТУАЦИЯ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Демографическая ситуация в Камчатском крае развивается под влиянием</w:t>
      </w:r>
      <w:r>
        <w:rPr>
          <w:rFonts w:ascii="Times New Roman" w:hAnsi="Times New Roman"/>
          <w:sz w:val="28"/>
        </w:rPr>
        <w:t xml:space="preserve"> сложившейся динамики рождаемости, смертности и миграции населения.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состоянию на 01.07.2024 численность населения составила 288,6 тыс. человек, уменьшившись по сравнению с 01.01.2024 на 595 человек за счет естественной убыли населения (-295 человек) и м</w:t>
      </w:r>
      <w:r>
        <w:rPr>
          <w:rFonts w:ascii="Times New Roman" w:hAnsi="Times New Roman"/>
          <w:sz w:val="28"/>
        </w:rPr>
        <w:t>играционного оттока (-200 человек).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Родилось 1 386 малышей (95,4% к I полугодию 2023 года). Коэффициент рождаемости составил 9,7 промилле (за I полугодие 2023 года – 10,1). Умерло 1 781 человек (105,6% к I полугодию 2023 года). Коэффициент смертности соста</w:t>
      </w:r>
      <w:r>
        <w:rPr>
          <w:rFonts w:ascii="Times New Roman" w:hAnsi="Times New Roman"/>
          <w:sz w:val="28"/>
        </w:rPr>
        <w:t>вил 12,4 промилле (за I полугодие 2022 года – 11,8).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Число прибывших в результате миграционного обмена населением составило 5 609 человек (96,8% к январю–июню 2023 года). 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Число выбывших составило 5 809 человек или 104,0% относительно января–июня 2023 года</w:t>
      </w:r>
      <w:r>
        <w:rPr>
          <w:rFonts w:ascii="Times New Roman" w:hAnsi="Times New Roman"/>
          <w:sz w:val="28"/>
        </w:rPr>
        <w:t xml:space="preserve">. 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Общий миграционный оборот (сумма прибытий и выбытий) составил 11 418 человек, коэффициент миграционного оттока – 1,4 промилле.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оценке, среднегодовая численность постоянного населения Камчатского края в 2024 году составит 289,5 тыс. человек или 100,2%</w:t>
      </w:r>
      <w:r>
        <w:rPr>
          <w:rFonts w:ascii="Times New Roman" w:hAnsi="Times New Roman"/>
          <w:sz w:val="28"/>
        </w:rPr>
        <w:t xml:space="preserve"> от уровня 2023 года. 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Коэффициент рождаемости по итогам 2024 года оценивается в 10,2 промилле, </w:t>
      </w:r>
      <w:r>
        <w:rPr>
          <w:rFonts w:ascii="Times New Roman" w:hAnsi="Times New Roman"/>
          <w:sz w:val="28"/>
        </w:rPr>
        <w:lastRenderedPageBreak/>
        <w:t xml:space="preserve">коэффициент смертности – 11,8 промилле. Коэффициент естественной убыли составит -1,6 промилле. </w:t>
      </w:r>
      <w:r>
        <w:rPr>
          <w:rFonts w:ascii="Times New Roman" w:hAnsi="Times New Roman"/>
          <w:sz w:val="28"/>
        </w:rPr>
        <w:t>Коэффициент миграционного прироста составит в 2024 году 5,5 проми</w:t>
      </w:r>
      <w:r>
        <w:rPr>
          <w:rFonts w:ascii="Times New Roman" w:hAnsi="Times New Roman"/>
          <w:sz w:val="28"/>
        </w:rPr>
        <w:t xml:space="preserve">лле. </w:t>
      </w:r>
    </w:p>
    <w:p w:rsidR="00A40196" w:rsidRDefault="00A40196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</w:rPr>
      </w:pPr>
    </w:p>
    <w:p w:rsidR="00A40196" w:rsidRDefault="00F4406C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Труд, ДЕНЕЖНЫЕ ДОХОДЫ И РАСХОДЫ НАСЕЛЕНИЯ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Численность занятых в экономике составила 162,9 тыс. человек или 100,6% относительно января–июня 2023 года.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состоянию на 01.07.2024 численность официально зарегистрированных безработных составила 1,0 тыс. человек, уровень регистрируемой безработицы – 0,6%, напряженность на рынке труда </w:t>
      </w:r>
      <w:r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0,2 человека на 1 заявленную работодателями вакансию.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Численность безрабо</w:t>
      </w:r>
      <w:r>
        <w:rPr>
          <w:rFonts w:ascii="Times New Roman" w:hAnsi="Times New Roman"/>
          <w:sz w:val="28"/>
        </w:rPr>
        <w:t>тных, рассчитанная по методологии МОТ, составила 3,9 тыс. человек (118,2% к январю–июню 2023 года).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Численность занятого в экономике населения в 2024 году, по оценке, составит 166,0 тыс. человек. Численность безработных, рассчитанная по методике МОТ, по оц</w:t>
      </w:r>
      <w:r>
        <w:rPr>
          <w:rFonts w:ascii="Times New Roman" w:hAnsi="Times New Roman"/>
          <w:sz w:val="28"/>
        </w:rPr>
        <w:t xml:space="preserve">енке в 2024 году составит 3,5 тыс. человек, что соответствует уровню 2023 года, в численности рабочей силы доля безработных по методике МОТ составит 2,1%. 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Численность рабочей силы оценивается на уровне 167,8 тыс. человек, что составит 100,4% уровня 2023 г</w:t>
      </w:r>
      <w:r>
        <w:rPr>
          <w:rFonts w:ascii="Times New Roman" w:hAnsi="Times New Roman"/>
          <w:sz w:val="28"/>
        </w:rPr>
        <w:t xml:space="preserve">ода. </w:t>
      </w:r>
    </w:p>
    <w:p w:rsidR="00A40196" w:rsidRDefault="00F440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Уровень официально зарегистрированной безработицы в 2024 году оценивается на уровне 0,8% (в 2023 году – 0,8%).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Среднемесячная номинальная начисленная заработная плата одного работника в январе–июне 2024 года составила 127 181,0 рубля (114,1% к январю</w:t>
      </w:r>
      <w:r>
        <w:rPr>
          <w:rFonts w:ascii="Times New Roman" w:hAnsi="Times New Roman"/>
          <w:sz w:val="28"/>
        </w:rPr>
        <w:t xml:space="preserve">–июню 2023 года). Отмечен рост реальной начисленной заработной платы на 5,6% к январю–июню 2023 года. </w:t>
      </w:r>
    </w:p>
    <w:p w:rsidR="00A40196" w:rsidRDefault="00F4406C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01.07.2023 просроченная задолженность по заработной плате составила 2,5 млн рублей. Задолженность на 100% образована из-за отсутствия у предприятий со</w:t>
      </w:r>
      <w:r>
        <w:rPr>
          <w:rFonts w:ascii="Times New Roman" w:hAnsi="Times New Roman"/>
          <w:sz w:val="28"/>
        </w:rPr>
        <w:t>бственных средств. Ситуация с погашением задолженности по заработной плате находится на постоянном контроле Правительства Камчатского края.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Реальные располагаемые денежные доходы сложились на уровне 101,9% к уровню января–июня 2023 года. </w:t>
      </w:r>
    </w:p>
    <w:p w:rsidR="00A40196" w:rsidRDefault="00F4406C">
      <w:pPr>
        <w:widowControl w:val="0"/>
        <w:spacing w:after="0" w:line="240" w:lineRule="auto"/>
        <w:ind w:right="-14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Размер среднедуше</w:t>
      </w:r>
      <w:r>
        <w:rPr>
          <w:rFonts w:ascii="Times New Roman" w:hAnsi="Times New Roman"/>
          <w:sz w:val="28"/>
        </w:rPr>
        <w:t>вого дохода составил 87 333,8 рубля, что составляет 110,7% относительно января–июня 2023 года. Соотношение среднедушевого денежного дохода с величиной прожиточного минимума всего населения определяется значением 316,4%.</w:t>
      </w:r>
    </w:p>
    <w:p w:rsidR="00A40196" w:rsidRDefault="00F4406C">
      <w:pPr>
        <w:widowControl w:val="0"/>
        <w:spacing w:after="0" w:line="240" w:lineRule="auto"/>
        <w:ind w:right="-14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Потребительские расходы сложились в </w:t>
      </w:r>
      <w:r>
        <w:rPr>
          <w:rFonts w:ascii="Times New Roman" w:hAnsi="Times New Roman"/>
          <w:sz w:val="28"/>
        </w:rPr>
        <w:t xml:space="preserve">размере 59 897,6 рублей в среднем на душу населения, увеличившись относительно января–июня 2023 года на 10,5%. На цели потребления населением направлено 68,6% среднедушевого дохода. </w:t>
      </w:r>
    </w:p>
    <w:p w:rsidR="00A40196" w:rsidRDefault="00F440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Правительства Камчатского края от 22.12.2023 № 678-П «Об у</w:t>
      </w:r>
      <w:r>
        <w:rPr>
          <w:rFonts w:ascii="Times New Roman" w:hAnsi="Times New Roman"/>
          <w:sz w:val="28"/>
        </w:rPr>
        <w:t xml:space="preserve">становлении величины прожиточного минимума на душу населения и по основным социально-демографическим группам населения в Камчатском крае на 2024 год» </w:t>
      </w:r>
      <w:r>
        <w:rPr>
          <w:rFonts w:ascii="Times New Roman" w:hAnsi="Times New Roman"/>
          <w:sz w:val="28"/>
        </w:rPr>
        <w:t>величина прожиточного минимума на 2024 год установлена в размере 27 602 рубля (для трудоспособного населен</w:t>
      </w:r>
      <w:r>
        <w:rPr>
          <w:rFonts w:ascii="Times New Roman" w:hAnsi="Times New Roman"/>
          <w:sz w:val="28"/>
        </w:rPr>
        <w:t xml:space="preserve">ия – 30 086 рублей, пенсионеров – 23 738 рублей, детей – 29 398 рублей). </w:t>
      </w:r>
    </w:p>
    <w:p w:rsidR="00A40196" w:rsidRDefault="00F4406C" w:rsidP="00A83FCB">
      <w:pPr>
        <w:widowControl w:val="0"/>
        <w:spacing w:after="0" w:line="240" w:lineRule="auto"/>
        <w:ind w:right="-14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2024 году среднегодовая начисленная заработная плата в среднем по региону </w:t>
      </w:r>
      <w:r>
        <w:rPr>
          <w:rFonts w:ascii="Times New Roman" w:hAnsi="Times New Roman"/>
          <w:sz w:val="28"/>
        </w:rPr>
        <w:lastRenderedPageBreak/>
        <w:t>составит 134 149,7 рубля. Реальные располагаемые денежные доходы населения составят 103,5% относительно пр</w:t>
      </w:r>
      <w:r>
        <w:rPr>
          <w:rFonts w:ascii="Times New Roman" w:hAnsi="Times New Roman"/>
          <w:sz w:val="28"/>
        </w:rPr>
        <w:t xml:space="preserve">едыдущего года, реальная заработная плата – 103,9%. </w:t>
      </w:r>
    </w:p>
    <w:sectPr w:rsidR="00A40196">
      <w:headerReference w:type="default" r:id="rId7"/>
      <w:pgSz w:w="11906" w:h="16838"/>
      <w:pgMar w:top="1134" w:right="567" w:bottom="1134" w:left="1134" w:header="567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4406C">
      <w:pPr>
        <w:spacing w:after="0" w:line="240" w:lineRule="auto"/>
      </w:pPr>
      <w:r>
        <w:separator/>
      </w:r>
    </w:p>
  </w:endnote>
  <w:endnote w:type="continuationSeparator" w:id="0">
    <w:p w:rsidR="00000000" w:rsidRDefault="00F44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Open Sans"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4406C">
      <w:pPr>
        <w:spacing w:after="0" w:line="240" w:lineRule="auto"/>
      </w:pPr>
      <w:r>
        <w:separator/>
      </w:r>
    </w:p>
  </w:footnote>
  <w:footnote w:type="continuationSeparator" w:id="0">
    <w:p w:rsidR="00000000" w:rsidRDefault="00F44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196" w:rsidRDefault="00F4406C">
    <w:pPr>
      <w:pStyle w:val="ab"/>
      <w:ind w:right="360" w:firstLine="360"/>
      <w:jc w:val="center"/>
      <w:rPr>
        <w:sz w:val="24"/>
        <w:szCs w:val="24"/>
      </w:rPr>
    </w:pPr>
    <w:r>
      <w:rPr>
        <w:noProof/>
        <w:sz w:val="24"/>
        <w:szCs w:val="24"/>
        <w:lang w:eastAsia="ru-RU" w:bidi="ar-SA"/>
      </w:rPr>
      <mc:AlternateContent>
        <mc:Choice Requires="wps">
          <w:drawing>
            <wp:anchor distT="0" distB="0" distL="0" distR="0" simplePos="0" relativeHeight="19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3990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A40196" w:rsidRDefault="00A40196">
                          <w:pPr>
                            <w:rPr>
                              <w:rFonts w:ascii="Times New Roman" w:hAnsi="Times New Roman"/>
                              <w:sz w:val="24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Picture 1" o:spid="_x0000_s1026" style="position:absolute;left:0;text-align:left;margin-left:0;margin-top:.05pt;width:12.05pt;height:13.7pt;z-index:-503316461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" o:allowincell="f" filled="f" stroked="f" strokeweight="0">
              <v:textbox style="mso-fit-shape-to-text:t" inset="0,0,0,0">
                <w:txbxContent>
                  <w:p w:rsidR="00A40196" w:rsidRDefault="00A40196">
                    <w:pPr>
                      <w:rPr>
                        <w:rFonts w:ascii="Times New Roman" w:hAnsi="Times New Roman"/>
                        <w:sz w:val="24"/>
                      </w:rPr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>
      <w:rPr>
        <w:noProof/>
        <w:sz w:val="24"/>
        <w:szCs w:val="24"/>
      </w:rPr>
      <w:t>10</w:t>
    </w:r>
    <w:r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7F4696"/>
    <w:multiLevelType w:val="multilevel"/>
    <w:tmpl w:val="4CEA38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9E6467B"/>
    <w:multiLevelType w:val="multilevel"/>
    <w:tmpl w:val="49AA4E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0196"/>
    <w:rsid w:val="00A40196"/>
    <w:rsid w:val="00A83FCB"/>
    <w:rsid w:val="00F4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665DCC-99E6-4164-B783-206BF41A9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ahoma" w:hAnsiTheme="minorHAnsi" w:cs="Lohit Devanagari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next w:val="a"/>
    <w:uiPriority w:val="9"/>
    <w:qFormat/>
    <w:pPr>
      <w:spacing w:before="120" w:after="120" w:line="276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pPr>
      <w:spacing w:before="120" w:after="120" w:line="276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pPr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 w:line="276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pPr>
      <w:spacing w:before="120" w:after="120" w:line="276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3">
    <w:name w:val="Contents 3"/>
    <w:link w:val="Contents32"/>
    <w:qFormat/>
    <w:rPr>
      <w:rFonts w:ascii="XO Thames" w:hAnsi="XO Thames"/>
      <w:sz w:val="28"/>
    </w:rPr>
  </w:style>
  <w:style w:type="character" w:customStyle="1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customStyle="1" w:styleId="Title1">
    <w:name w:val="Title1"/>
    <w:qFormat/>
    <w:rPr>
      <w:rFonts w:ascii="XO Thames" w:hAnsi="XO Thames"/>
      <w:b/>
      <w:caps/>
      <w:sz w:val="40"/>
    </w:rPr>
  </w:style>
  <w:style w:type="character" w:customStyle="1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customStyle="1" w:styleId="Contents7">
    <w:name w:val="Contents 7"/>
    <w:link w:val="Contents72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customStyle="1" w:styleId="List1">
    <w:name w:val="List1"/>
    <w:basedOn w:val="Textbody"/>
    <w:qFormat/>
  </w:style>
  <w:style w:type="character" w:customStyle="1" w:styleId="Contents71">
    <w:name w:val="Contents 71"/>
    <w:qFormat/>
    <w:rPr>
      <w:rFonts w:ascii="XO Thames" w:hAnsi="XO Thames"/>
      <w:color w:val="000000"/>
      <w:spacing w:val="0"/>
      <w:sz w:val="28"/>
    </w:rPr>
  </w:style>
  <w:style w:type="character" w:customStyle="1" w:styleId="a3">
    <w:name w:val="Колонтитул"/>
    <w:link w:val="10"/>
    <w:qFormat/>
    <w:rPr>
      <w:rFonts w:ascii="XO Thames" w:hAnsi="XO Thames"/>
      <w:color w:val="000000"/>
      <w:spacing w:val="0"/>
      <w:sz w:val="20"/>
    </w:rPr>
  </w:style>
  <w:style w:type="character" w:customStyle="1" w:styleId="Heading31">
    <w:name w:val="Heading 31"/>
    <w:qFormat/>
    <w:rPr>
      <w:rFonts w:ascii="XO Thames" w:hAnsi="XO Thames"/>
      <w:b/>
      <w:sz w:val="26"/>
    </w:rPr>
  </w:style>
  <w:style w:type="character" w:customStyle="1" w:styleId="Header1">
    <w:name w:val="Header1"/>
    <w:qFormat/>
    <w:rPr>
      <w:rFonts w:ascii="Times New Roman" w:hAnsi="Times New Roman"/>
      <w:sz w:val="20"/>
    </w:rPr>
  </w:style>
  <w:style w:type="character" w:customStyle="1" w:styleId="Heading4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customStyle="1" w:styleId="Contents21">
    <w:name w:val="Contents 21"/>
    <w:link w:val="Contents22"/>
    <w:qFormat/>
    <w:rPr>
      <w:rFonts w:ascii="XO Thames" w:hAnsi="XO Thames"/>
      <w:sz w:val="28"/>
    </w:rPr>
  </w:style>
  <w:style w:type="character" w:styleId="a4">
    <w:name w:val="page number"/>
    <w:basedOn w:val="a0"/>
    <w:link w:val="pagenumber1"/>
    <w:qFormat/>
  </w:style>
  <w:style w:type="character" w:customStyle="1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customStyle="1" w:styleId="Textbody">
    <w:name w:val="Text body"/>
    <w:qFormat/>
  </w:style>
  <w:style w:type="character" w:customStyle="1" w:styleId="Contents9">
    <w:name w:val="Contents 9"/>
    <w:link w:val="Contents92"/>
    <w:qFormat/>
    <w:rPr>
      <w:rFonts w:ascii="XO Thames" w:hAnsi="XO Thames"/>
      <w:sz w:val="28"/>
    </w:rPr>
  </w:style>
  <w:style w:type="character" w:customStyle="1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customStyle="1" w:styleId="11">
    <w:name w:val="Заголовок1"/>
    <w:link w:val="11111"/>
    <w:qFormat/>
    <w:rPr>
      <w:rFonts w:ascii="Open Sans" w:hAnsi="Open Sans"/>
      <w:sz w:val="28"/>
    </w:rPr>
  </w:style>
  <w:style w:type="character" w:customStyle="1" w:styleId="Heading1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customStyle="1" w:styleId="Contents5">
    <w:name w:val="Contents 5"/>
    <w:link w:val="Contents52"/>
    <w:qFormat/>
    <w:rPr>
      <w:rFonts w:ascii="XO Thames" w:hAnsi="XO Thames"/>
      <w:sz w:val="28"/>
    </w:rPr>
  </w:style>
  <w:style w:type="character" w:customStyle="1" w:styleId="12">
    <w:name w:val="Указатель1"/>
    <w:link w:val="111110"/>
    <w:qFormat/>
  </w:style>
  <w:style w:type="character" w:customStyle="1" w:styleId="Contents1">
    <w:name w:val="Contents 1"/>
    <w:link w:val="Contents12"/>
    <w:qFormat/>
    <w:rPr>
      <w:rFonts w:ascii="XO Thames" w:hAnsi="XO Thames"/>
      <w:b/>
      <w:sz w:val="28"/>
    </w:rPr>
  </w:style>
  <w:style w:type="character" w:customStyle="1" w:styleId="Contents41">
    <w:name w:val="Contents 41"/>
    <w:link w:val="Contents42"/>
    <w:qFormat/>
    <w:rPr>
      <w:rFonts w:ascii="XO Thames" w:hAnsi="XO Thames"/>
      <w:sz w:val="28"/>
    </w:rPr>
  </w:style>
  <w:style w:type="character" w:styleId="a5">
    <w:name w:val="Hyperlink"/>
    <w:rPr>
      <w:color w:val="0000FF"/>
      <w:u w:val="single"/>
    </w:rPr>
  </w:style>
  <w:style w:type="character" w:customStyle="1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customStyle="1" w:styleId="Contents1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customStyle="1" w:styleId="Subtitle1">
    <w:name w:val="Subtitle1"/>
    <w:qFormat/>
    <w:rPr>
      <w:rFonts w:ascii="XO Thames" w:hAnsi="XO Thames"/>
      <w:i/>
      <w:sz w:val="24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ontents61">
    <w:name w:val="Contents 61"/>
    <w:link w:val="Contents62"/>
    <w:qFormat/>
    <w:rPr>
      <w:rFonts w:ascii="XO Thames" w:hAnsi="XO Thames"/>
      <w:sz w:val="28"/>
    </w:rPr>
  </w:style>
  <w:style w:type="character" w:customStyle="1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customStyle="1" w:styleId="a6">
    <w:name w:val="Содержимое врезки"/>
    <w:link w:val="13"/>
    <w:qFormat/>
  </w:style>
  <w:style w:type="character" w:customStyle="1" w:styleId="14">
    <w:name w:val="Текст выноски1"/>
    <w:link w:val="BalloonText1"/>
    <w:qFormat/>
    <w:rPr>
      <w:rFonts w:ascii="Tahoma" w:hAnsi="Tahoma"/>
      <w:sz w:val="16"/>
    </w:rPr>
  </w:style>
  <w:style w:type="character" w:customStyle="1" w:styleId="Contents8">
    <w:name w:val="Contents 8"/>
    <w:qFormat/>
    <w:rPr>
      <w:rFonts w:ascii="XO Thames" w:hAnsi="XO Thames"/>
      <w:color w:val="000000"/>
      <w:spacing w:val="0"/>
      <w:sz w:val="28"/>
    </w:rPr>
  </w:style>
  <w:style w:type="character" w:customStyle="1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customStyle="1" w:styleId="Contents81">
    <w:name w:val="Contents 81"/>
    <w:link w:val="Contents82"/>
    <w:qFormat/>
    <w:rPr>
      <w:rFonts w:ascii="XO Thames" w:hAnsi="XO Thames"/>
      <w:sz w:val="28"/>
    </w:rPr>
  </w:style>
  <w:style w:type="character" w:customStyle="1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customStyle="1" w:styleId="Caption1">
    <w:name w:val="Caption1"/>
    <w:qFormat/>
    <w:rPr>
      <w:i/>
      <w:sz w:val="24"/>
    </w:rPr>
  </w:style>
  <w:style w:type="character" w:customStyle="1" w:styleId="Internetlink">
    <w:name w:val="Internet link"/>
    <w:link w:val="Internetlink2"/>
    <w:qFormat/>
    <w:rPr>
      <w:rFonts w:ascii="Calibri" w:hAnsi="Calibri"/>
      <w:color w:val="0000FF"/>
      <w:spacing w:val="0"/>
      <w:sz w:val="22"/>
      <w:u w:val="single"/>
    </w:rPr>
  </w:style>
  <w:style w:type="paragraph" w:customStyle="1" w:styleId="15">
    <w:name w:val="Заголовок1"/>
    <w:basedOn w:val="a"/>
    <w:next w:val="a7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pacing w:before="120" w:after="120"/>
    </w:pPr>
    <w:rPr>
      <w:i/>
      <w:sz w:val="24"/>
    </w:rPr>
  </w:style>
  <w:style w:type="paragraph" w:customStyle="1" w:styleId="16">
    <w:name w:val="Указатель1"/>
    <w:basedOn w:val="a"/>
    <w:qFormat/>
    <w:pPr>
      <w:suppressLineNumbers/>
    </w:pPr>
  </w:style>
  <w:style w:type="paragraph" w:customStyle="1" w:styleId="110">
    <w:name w:val="Заголовок11"/>
    <w:basedOn w:val="a"/>
    <w:next w:val="a7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customStyle="1" w:styleId="111">
    <w:name w:val="Указатель11"/>
    <w:basedOn w:val="a"/>
    <w:qFormat/>
    <w:pPr>
      <w:suppressLineNumbers/>
    </w:pPr>
  </w:style>
  <w:style w:type="paragraph" w:customStyle="1" w:styleId="1110">
    <w:name w:val="Заголовок111"/>
    <w:basedOn w:val="a"/>
    <w:next w:val="a7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customStyle="1" w:styleId="1111">
    <w:name w:val="Указатель111"/>
    <w:basedOn w:val="a"/>
    <w:qFormat/>
    <w:pPr>
      <w:suppressLineNumbers/>
    </w:pPr>
  </w:style>
  <w:style w:type="paragraph" w:customStyle="1" w:styleId="11110">
    <w:name w:val="Заголовок1111"/>
    <w:basedOn w:val="a"/>
    <w:next w:val="a7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customStyle="1" w:styleId="11112">
    <w:name w:val="Указатель1111"/>
    <w:basedOn w:val="a"/>
    <w:qFormat/>
    <w:pPr>
      <w:suppressLineNumbers/>
    </w:pPr>
  </w:style>
  <w:style w:type="paragraph" w:customStyle="1" w:styleId="11111">
    <w:name w:val="Заголовок11111"/>
    <w:basedOn w:val="a"/>
    <w:next w:val="a7"/>
    <w:link w:val="11"/>
    <w:qFormat/>
    <w:pPr>
      <w:keepNext/>
      <w:spacing w:before="240" w:after="120"/>
    </w:pPr>
    <w:rPr>
      <w:rFonts w:ascii="Open Sans" w:hAnsi="Open Sans"/>
      <w:sz w:val="28"/>
    </w:rPr>
  </w:style>
  <w:style w:type="paragraph" w:customStyle="1" w:styleId="111110">
    <w:name w:val="Указатель11111"/>
    <w:basedOn w:val="a"/>
    <w:link w:val="12"/>
    <w:qFormat/>
  </w:style>
  <w:style w:type="paragraph" w:customStyle="1" w:styleId="Contents32">
    <w:name w:val="Contents 32"/>
    <w:link w:val="Contents3"/>
    <w:qFormat/>
    <w:rPr>
      <w:rFonts w:ascii="XO Thames" w:hAnsi="XO Thames"/>
      <w:sz w:val="28"/>
    </w:rPr>
  </w:style>
  <w:style w:type="paragraph" w:styleId="20">
    <w:name w:val="toc 2"/>
    <w:next w:val="a"/>
    <w:uiPriority w:val="39"/>
    <w:pPr>
      <w:spacing w:after="200" w:line="276" w:lineRule="auto"/>
      <w:ind w:left="200"/>
    </w:pPr>
    <w:rPr>
      <w:rFonts w:ascii="XO Thames" w:hAnsi="XO Thames"/>
      <w:sz w:val="28"/>
    </w:rPr>
  </w:style>
  <w:style w:type="paragraph" w:styleId="aa">
    <w:name w:val="Title"/>
    <w:next w:val="a"/>
    <w:uiPriority w:val="10"/>
    <w:qFormat/>
    <w:rPr>
      <w:rFonts w:ascii="XO Thames" w:hAnsi="XO Thames"/>
      <w:b/>
      <w:caps/>
      <w:sz w:val="40"/>
    </w:rPr>
  </w:style>
  <w:style w:type="paragraph" w:styleId="40">
    <w:name w:val="toc 4"/>
    <w:next w:val="a"/>
    <w:uiPriority w:val="39"/>
    <w:pPr>
      <w:spacing w:after="200" w:line="276" w:lineRule="auto"/>
      <w:ind w:left="600"/>
    </w:pPr>
    <w:rPr>
      <w:rFonts w:ascii="XO Thames" w:hAnsi="XO Thames"/>
      <w:sz w:val="28"/>
    </w:rPr>
  </w:style>
  <w:style w:type="paragraph" w:customStyle="1" w:styleId="Contents72">
    <w:name w:val="Contents 72"/>
    <w:link w:val="Contents7"/>
    <w:qFormat/>
    <w:rPr>
      <w:rFonts w:ascii="XO Thames" w:hAnsi="XO Thames"/>
      <w:sz w:val="28"/>
    </w:rPr>
  </w:style>
  <w:style w:type="paragraph" w:styleId="6">
    <w:name w:val="toc 6"/>
    <w:next w:val="a"/>
    <w:uiPriority w:val="39"/>
    <w:pPr>
      <w:spacing w:after="200" w:line="276" w:lineRule="auto"/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spacing w:after="200" w:line="276" w:lineRule="auto"/>
      <w:ind w:left="1200"/>
    </w:pPr>
    <w:rPr>
      <w:rFonts w:ascii="XO Thames" w:hAnsi="XO Thames"/>
      <w:sz w:val="28"/>
    </w:rPr>
  </w:style>
  <w:style w:type="paragraph" w:customStyle="1" w:styleId="10">
    <w:name w:val="Колонтитул1"/>
    <w:link w:val="a3"/>
    <w:qFormat/>
    <w:rPr>
      <w:rFonts w:ascii="XO Thames" w:hAnsi="XO Thames"/>
      <w:sz w:val="20"/>
    </w:rPr>
  </w:style>
  <w:style w:type="paragraph" w:customStyle="1" w:styleId="21">
    <w:name w:val="Колонтитул2"/>
    <w:basedOn w:val="a"/>
    <w:qFormat/>
  </w:style>
  <w:style w:type="paragraph" w:customStyle="1" w:styleId="30">
    <w:name w:val="Колонтитул3"/>
    <w:basedOn w:val="a"/>
    <w:qFormat/>
  </w:style>
  <w:style w:type="paragraph" w:customStyle="1" w:styleId="41">
    <w:name w:val="Колонтитул4"/>
    <w:basedOn w:val="a"/>
    <w:qFormat/>
  </w:style>
  <w:style w:type="paragraph" w:customStyle="1" w:styleId="50">
    <w:name w:val="Колонтитул5"/>
    <w:basedOn w:val="a"/>
    <w:qFormat/>
  </w:style>
  <w:style w:type="paragraph" w:styleId="ab">
    <w:name w:val="header"/>
    <w:rPr>
      <w:rFonts w:ascii="Times New Roman" w:hAnsi="Times New Roman"/>
      <w:sz w:val="20"/>
    </w:rPr>
  </w:style>
  <w:style w:type="paragraph" w:customStyle="1" w:styleId="Contents22">
    <w:name w:val="Contents 22"/>
    <w:link w:val="Contents21"/>
    <w:qFormat/>
    <w:rPr>
      <w:rFonts w:ascii="XO Thames" w:hAnsi="XO Thames"/>
      <w:sz w:val="28"/>
    </w:rPr>
  </w:style>
  <w:style w:type="paragraph" w:customStyle="1" w:styleId="pagenumber1">
    <w:name w:val="page number1"/>
    <w:basedOn w:val="DefaultParagraphFont1"/>
    <w:link w:val="a4"/>
    <w:qFormat/>
  </w:style>
  <w:style w:type="paragraph" w:customStyle="1" w:styleId="Contents92">
    <w:name w:val="Contents 92"/>
    <w:link w:val="Contents9"/>
    <w:qFormat/>
    <w:rPr>
      <w:rFonts w:ascii="XO Thames" w:hAnsi="XO Thames"/>
      <w:sz w:val="28"/>
    </w:rPr>
  </w:style>
  <w:style w:type="paragraph" w:styleId="31">
    <w:name w:val="toc 3"/>
    <w:next w:val="a"/>
    <w:uiPriority w:val="39"/>
    <w:pPr>
      <w:spacing w:after="200" w:line="276" w:lineRule="auto"/>
      <w:ind w:left="400"/>
    </w:pPr>
    <w:rPr>
      <w:rFonts w:ascii="XO Thames" w:hAnsi="XO Thames"/>
      <w:sz w:val="28"/>
    </w:rPr>
  </w:style>
  <w:style w:type="paragraph" w:customStyle="1" w:styleId="Contents52">
    <w:name w:val="Contents 52"/>
    <w:link w:val="Contents5"/>
    <w:qFormat/>
    <w:rPr>
      <w:rFonts w:ascii="XO Thames" w:hAnsi="XO Thames"/>
      <w:sz w:val="28"/>
    </w:rPr>
  </w:style>
  <w:style w:type="paragraph" w:customStyle="1" w:styleId="Contents12">
    <w:name w:val="Contents 12"/>
    <w:link w:val="Contents1"/>
    <w:qFormat/>
    <w:rPr>
      <w:rFonts w:ascii="XO Thames" w:hAnsi="XO Thames"/>
      <w:b/>
      <w:sz w:val="28"/>
    </w:rPr>
  </w:style>
  <w:style w:type="paragraph" w:customStyle="1" w:styleId="Contents42">
    <w:name w:val="Contents 42"/>
    <w:link w:val="Contents41"/>
    <w:qFormat/>
    <w:rPr>
      <w:rFonts w:ascii="XO Thames" w:hAnsi="XO Thames"/>
      <w:sz w:val="28"/>
    </w:rPr>
  </w:style>
  <w:style w:type="paragraph" w:customStyle="1" w:styleId="Internetlink1">
    <w:name w:val="Internet link1"/>
    <w:qFormat/>
    <w:rPr>
      <w:rFonts w:ascii="Calibri" w:hAnsi="Calibri"/>
      <w:color w:val="0000FF"/>
      <w:u w:val="single"/>
    </w:rPr>
  </w:style>
  <w:style w:type="paragraph" w:customStyle="1" w:styleId="Footnote1">
    <w:name w:val="Footnote1"/>
    <w:link w:val="Footnote"/>
    <w:qFormat/>
    <w:pPr>
      <w:spacing w:after="200" w:line="276" w:lineRule="auto"/>
      <w:ind w:firstLine="851"/>
      <w:jc w:val="both"/>
    </w:pPr>
    <w:rPr>
      <w:rFonts w:ascii="XO Thames" w:hAnsi="XO Thames"/>
    </w:rPr>
  </w:style>
  <w:style w:type="paragraph" w:styleId="17">
    <w:name w:val="toc 1"/>
    <w:next w:val="a"/>
    <w:uiPriority w:val="39"/>
    <w:pPr>
      <w:spacing w:after="200" w:line="276" w:lineRule="auto"/>
    </w:pPr>
    <w:rPr>
      <w:rFonts w:ascii="XO Thames" w:hAnsi="XO Thames"/>
      <w:b/>
      <w:sz w:val="28"/>
    </w:rPr>
  </w:style>
  <w:style w:type="paragraph" w:styleId="ac">
    <w:name w:val="Subtitle"/>
    <w:next w:val="a"/>
    <w:uiPriority w:val="11"/>
    <w:qFormat/>
    <w:rPr>
      <w:rFonts w:ascii="XO Thames" w:hAnsi="XO Thames"/>
      <w:i/>
      <w:sz w:val="24"/>
    </w:rPr>
  </w:style>
  <w:style w:type="paragraph" w:customStyle="1" w:styleId="Contents62">
    <w:name w:val="Contents 62"/>
    <w:link w:val="Contents61"/>
    <w:qFormat/>
    <w:rPr>
      <w:rFonts w:ascii="XO Thames" w:hAnsi="XO Thames"/>
      <w:sz w:val="28"/>
    </w:rPr>
  </w:style>
  <w:style w:type="paragraph" w:styleId="9">
    <w:name w:val="toc 9"/>
    <w:next w:val="a"/>
    <w:uiPriority w:val="39"/>
    <w:pPr>
      <w:spacing w:after="200" w:line="276" w:lineRule="auto"/>
      <w:ind w:left="1600"/>
    </w:pPr>
    <w:rPr>
      <w:rFonts w:ascii="XO Thames" w:hAnsi="XO Thames"/>
      <w:sz w:val="28"/>
    </w:rPr>
  </w:style>
  <w:style w:type="paragraph" w:customStyle="1" w:styleId="13">
    <w:name w:val="Содержимое врезки1"/>
    <w:basedOn w:val="a"/>
    <w:link w:val="a6"/>
    <w:qFormat/>
  </w:style>
  <w:style w:type="paragraph" w:customStyle="1" w:styleId="BalloonText1">
    <w:name w:val="Balloon Text1"/>
    <w:basedOn w:val="a"/>
    <w:link w:val="14"/>
    <w:qFormat/>
    <w:pPr>
      <w:spacing w:after="0" w:line="240" w:lineRule="auto"/>
    </w:pPr>
    <w:rPr>
      <w:rFonts w:ascii="Tahoma" w:hAnsi="Tahoma"/>
      <w:sz w:val="16"/>
    </w:rPr>
  </w:style>
  <w:style w:type="paragraph" w:styleId="8">
    <w:name w:val="toc 8"/>
    <w:next w:val="a"/>
    <w:uiPriority w:val="39"/>
    <w:pPr>
      <w:spacing w:after="200" w:line="276" w:lineRule="auto"/>
      <w:ind w:left="1400"/>
    </w:pPr>
    <w:rPr>
      <w:rFonts w:ascii="XO Thames" w:hAnsi="XO Thames"/>
      <w:sz w:val="28"/>
    </w:rPr>
  </w:style>
  <w:style w:type="paragraph" w:customStyle="1" w:styleId="Contents82">
    <w:name w:val="Contents 82"/>
    <w:link w:val="Contents81"/>
    <w:qFormat/>
    <w:rPr>
      <w:rFonts w:ascii="XO Thames" w:hAnsi="XO Thames"/>
      <w:sz w:val="28"/>
    </w:rPr>
  </w:style>
  <w:style w:type="paragraph" w:styleId="51">
    <w:name w:val="toc 5"/>
    <w:next w:val="a"/>
    <w:uiPriority w:val="39"/>
    <w:pPr>
      <w:spacing w:after="200" w:line="276" w:lineRule="auto"/>
      <w:ind w:left="800"/>
    </w:pPr>
    <w:rPr>
      <w:rFonts w:ascii="XO Thames" w:hAnsi="XO Thames"/>
      <w:sz w:val="28"/>
    </w:rPr>
  </w:style>
  <w:style w:type="paragraph" w:customStyle="1" w:styleId="Internetlink2">
    <w:name w:val="Internet link2"/>
    <w:link w:val="Internetlink"/>
    <w:qFormat/>
    <w:pPr>
      <w:spacing w:after="200" w:line="276" w:lineRule="auto"/>
    </w:pPr>
    <w:rPr>
      <w:rFonts w:ascii="Calibri" w:hAnsi="Calibri"/>
      <w:color w:val="0000FF"/>
      <w:u w:val="single"/>
    </w:rPr>
  </w:style>
  <w:style w:type="paragraph" w:customStyle="1" w:styleId="DefaultParagraphFont1">
    <w:name w:val="Default Paragraph Font1"/>
    <w:qFormat/>
    <w:pPr>
      <w:spacing w:after="200" w:line="276" w:lineRule="auto"/>
    </w:pPr>
  </w:style>
  <w:style w:type="paragraph" w:customStyle="1" w:styleId="22">
    <w:name w:val="Содержимое врезки2"/>
    <w:basedOn w:val="a"/>
    <w:qFormat/>
  </w:style>
  <w:style w:type="paragraph" w:customStyle="1" w:styleId="32">
    <w:name w:val="Содержимое врезки3"/>
    <w:basedOn w:val="a"/>
    <w:qFormat/>
  </w:style>
  <w:style w:type="paragraph" w:customStyle="1" w:styleId="42">
    <w:name w:val="Содержимое врезки4"/>
    <w:basedOn w:val="a"/>
    <w:qFormat/>
  </w:style>
  <w:style w:type="paragraph" w:customStyle="1" w:styleId="52">
    <w:name w:val="Содержимое врезки5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10</Pages>
  <Words>3723</Words>
  <Characters>21223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Ахметшина Ирина Викторовна</cp:lastModifiedBy>
  <cp:revision>17</cp:revision>
  <dcterms:created xsi:type="dcterms:W3CDTF">2024-09-30T02:32:00Z</dcterms:created>
  <dcterms:modified xsi:type="dcterms:W3CDTF">2024-09-30T02:33:00Z</dcterms:modified>
  <dc:language>ru-RU</dc:language>
</cp:coreProperties>
</file>