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7B" w:rsidRDefault="00FA4BB8">
      <w:pPr>
        <w:spacing w:line="276" w:lineRule="auto"/>
        <w:rPr>
          <w:sz w:val="28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6704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5F017B" w:rsidRDefault="005F017B">
      <w:pPr>
        <w:spacing w:line="360" w:lineRule="auto"/>
        <w:jc w:val="center"/>
        <w:rPr>
          <w:sz w:val="32"/>
        </w:rPr>
      </w:pPr>
    </w:p>
    <w:p w:rsidR="005F017B" w:rsidRDefault="005F017B">
      <w:pPr>
        <w:jc w:val="center"/>
        <w:rPr>
          <w:b/>
          <w:sz w:val="32"/>
        </w:rPr>
      </w:pPr>
    </w:p>
    <w:p w:rsidR="005F017B" w:rsidRDefault="005F017B">
      <w:pPr>
        <w:rPr>
          <w:b/>
          <w:sz w:val="32"/>
        </w:rPr>
      </w:pPr>
    </w:p>
    <w:p w:rsidR="005F017B" w:rsidRDefault="00FA4BB8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F017B" w:rsidRDefault="005F017B">
      <w:pPr>
        <w:jc w:val="center"/>
        <w:rPr>
          <w:b/>
          <w:sz w:val="28"/>
        </w:rPr>
      </w:pPr>
    </w:p>
    <w:p w:rsidR="005F017B" w:rsidRDefault="00FA4BB8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5F017B" w:rsidRDefault="00FA4BB8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5F017B" w:rsidRDefault="005F017B">
      <w:pPr>
        <w:spacing w:line="276" w:lineRule="auto"/>
        <w:ind w:firstLine="709"/>
        <w:jc w:val="center"/>
        <w:rPr>
          <w:sz w:val="28"/>
        </w:rPr>
      </w:pPr>
    </w:p>
    <w:p w:rsidR="005F017B" w:rsidRDefault="005F017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F017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F017B" w:rsidRDefault="00FA4BB8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5F017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F017B" w:rsidRDefault="00FA4BB8">
            <w:pPr>
              <w:ind w:firstLine="709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5F017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F017B" w:rsidRDefault="005F017B">
            <w:pPr>
              <w:jc w:val="both"/>
              <w:rPr>
                <w:sz w:val="20"/>
              </w:rPr>
            </w:pPr>
          </w:p>
        </w:tc>
      </w:tr>
    </w:tbl>
    <w:p w:rsidR="005F017B" w:rsidRDefault="005F017B">
      <w:pPr>
        <w:ind w:firstLine="709"/>
        <w:contextualSpacing/>
        <w:jc w:val="both"/>
      </w:pPr>
    </w:p>
    <w:p w:rsidR="005F017B" w:rsidRDefault="00FA4BB8">
      <w:pPr>
        <w:jc w:val="center"/>
        <w:rPr>
          <w:b/>
          <w:sz w:val="28"/>
        </w:rPr>
      </w:pPr>
      <w:r>
        <w:rPr>
          <w:b/>
          <w:sz w:val="28"/>
        </w:rPr>
        <w:t xml:space="preserve">О реализации </w:t>
      </w:r>
      <w:r w:rsidR="00D54A2B">
        <w:rPr>
          <w:b/>
          <w:sz w:val="28"/>
        </w:rPr>
        <w:t xml:space="preserve">отдельных положений </w:t>
      </w:r>
      <w:r>
        <w:rPr>
          <w:b/>
          <w:sz w:val="28"/>
        </w:rPr>
        <w:t>статьи 78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Бюджетного кодекса Российской Федерации</w:t>
      </w:r>
    </w:p>
    <w:p w:rsidR="005F017B" w:rsidRDefault="005F017B">
      <w:pPr>
        <w:jc w:val="center"/>
        <w:rPr>
          <w:b/>
          <w:sz w:val="28"/>
        </w:rPr>
      </w:pPr>
    </w:p>
    <w:p w:rsidR="005F017B" w:rsidRDefault="005F017B">
      <w:pPr>
        <w:jc w:val="center"/>
        <w:rPr>
          <w:b/>
          <w:sz w:val="28"/>
        </w:rPr>
      </w:pPr>
    </w:p>
    <w:p w:rsidR="005F017B" w:rsidRDefault="00FA4BB8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DC11AB">
        <w:rPr>
          <w:sz w:val="28"/>
        </w:rPr>
        <w:t xml:space="preserve">соответствии с </w:t>
      </w:r>
      <w:r>
        <w:rPr>
          <w:sz w:val="28"/>
        </w:rPr>
        <w:t>абзаце</w:t>
      </w:r>
      <w:r w:rsidR="00DC11AB">
        <w:rPr>
          <w:sz w:val="28"/>
        </w:rPr>
        <w:t xml:space="preserve">м </w:t>
      </w:r>
      <w:r>
        <w:rPr>
          <w:sz w:val="28"/>
        </w:rPr>
        <w:t>четверт</w:t>
      </w:r>
      <w:r w:rsidR="00DC11AB">
        <w:rPr>
          <w:sz w:val="28"/>
        </w:rPr>
        <w:t xml:space="preserve">ым </w:t>
      </w:r>
      <w:r>
        <w:rPr>
          <w:sz w:val="28"/>
        </w:rPr>
        <w:t>пункта 1 статьи 78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</w:t>
      </w:r>
      <w:r w:rsidR="00DC11AB">
        <w:rPr>
          <w:sz w:val="28"/>
        </w:rPr>
        <w:t xml:space="preserve">о кодекса Российской Федерации, </w:t>
      </w:r>
      <w:r>
        <w:rPr>
          <w:sz w:val="28"/>
        </w:rPr>
        <w:t xml:space="preserve">подпунктом «в» части 3 </w:t>
      </w:r>
      <w:r w:rsidR="00DD6918">
        <w:rPr>
          <w:sz w:val="28"/>
        </w:rPr>
        <w:t>О</w:t>
      </w:r>
      <w:r w:rsidR="00DD6918">
        <w:rPr>
          <w:sz w:val="28"/>
        </w:rPr>
        <w:t>бщих требовани</w:t>
      </w:r>
      <w:r w:rsidR="00DD6918">
        <w:rPr>
          <w:sz w:val="28"/>
        </w:rPr>
        <w:t xml:space="preserve">й </w:t>
      </w:r>
      <w:r w:rsidR="00DD6918">
        <w:rPr>
          <w:sz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DD6918">
        <w:rPr>
          <w:sz w:val="28"/>
        </w:rPr>
        <w:t xml:space="preserve">, утвержденных </w:t>
      </w:r>
      <w:r>
        <w:rPr>
          <w:sz w:val="28"/>
        </w:rPr>
        <w:t>постановлени</w:t>
      </w:r>
      <w:r w:rsidR="00DD6918">
        <w:rPr>
          <w:sz w:val="28"/>
        </w:rPr>
        <w:t>ем</w:t>
      </w:r>
      <w:r>
        <w:rPr>
          <w:sz w:val="28"/>
        </w:rPr>
        <w:t xml:space="preserve"> Правительства Российской Федерации</w:t>
      </w:r>
      <w:r w:rsidR="00DC11AB">
        <w:rPr>
          <w:sz w:val="28"/>
        </w:rPr>
        <w:t xml:space="preserve"> </w:t>
      </w:r>
      <w:r>
        <w:rPr>
          <w:sz w:val="28"/>
        </w:rPr>
        <w:t>от 22.02.2020 № 203</w:t>
      </w:r>
      <w:r w:rsidR="006858BD">
        <w:rPr>
          <w:sz w:val="28"/>
        </w:rPr>
        <w:t>,</w:t>
      </w:r>
      <w:r>
        <w:rPr>
          <w:sz w:val="28"/>
        </w:rPr>
        <w:t xml:space="preserve"> </w:t>
      </w:r>
    </w:p>
    <w:p w:rsidR="005F017B" w:rsidRDefault="005F017B">
      <w:pPr>
        <w:jc w:val="both"/>
      </w:pPr>
    </w:p>
    <w:p w:rsidR="005F017B" w:rsidRDefault="00FA4BB8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5F017B" w:rsidRDefault="005F017B">
      <w:pPr>
        <w:ind w:firstLine="709"/>
        <w:jc w:val="both"/>
      </w:pPr>
    </w:p>
    <w:p w:rsidR="005F017B" w:rsidRDefault="00FA4BB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исполнительные органы Камчатского края, осуществляющие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</w:t>
      </w:r>
      <w:r w:rsidR="00BD0AD9">
        <w:rPr>
          <w:rFonts w:ascii="Times New Roman" w:hAnsi="Times New Roman"/>
          <w:sz w:val="28"/>
          <w:szCs w:val="28"/>
        </w:rPr>
        <w:t xml:space="preserve"> </w:t>
      </w:r>
      <w:r w:rsidR="006453E4">
        <w:rPr>
          <w:rFonts w:ascii="Times New Roman" w:hAnsi="Times New Roman"/>
          <w:sz w:val="28"/>
          <w:szCs w:val="28"/>
        </w:rPr>
        <w:t xml:space="preserve">                         </w:t>
      </w:r>
      <w:r w:rsidR="00BD0AD9">
        <w:rPr>
          <w:rFonts w:ascii="Times New Roman" w:hAnsi="Times New Roman"/>
          <w:sz w:val="28"/>
          <w:szCs w:val="28"/>
        </w:rPr>
        <w:t>(за исключением субсидий, предоставляемых в соответствии со статьей 78</w:t>
      </w:r>
      <w:r w:rsidR="00BD0AD9" w:rsidRPr="00BD0AD9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="00BD0AD9">
        <w:rPr>
          <w:rFonts w:ascii="Times New Roman" w:hAnsi="Times New Roman"/>
          <w:sz w:val="28"/>
          <w:szCs w:val="28"/>
        </w:rPr>
        <w:t>Бюджетного кодекса Российской Федерации)</w:t>
      </w:r>
      <w:r>
        <w:rPr>
          <w:rFonts w:ascii="Times New Roman" w:hAnsi="Times New Roman"/>
          <w:sz w:val="28"/>
          <w:szCs w:val="28"/>
        </w:rPr>
        <w:t>.</w:t>
      </w:r>
    </w:p>
    <w:p w:rsidR="005F017B" w:rsidRPr="00373A6C" w:rsidRDefault="00FA4BB8" w:rsidP="00ED663B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A6C">
        <w:rPr>
          <w:rFonts w:ascii="Times New Roman" w:hAnsi="Times New Roman"/>
          <w:sz w:val="28"/>
          <w:szCs w:val="28"/>
        </w:rPr>
        <w:t>Установить, что предоставление из краевого бюджета бюджетным и автономным учреждениям</w:t>
      </w:r>
      <w:r w:rsidR="00A931A0" w:rsidRPr="00373A6C">
        <w:rPr>
          <w:rFonts w:ascii="Times New Roman" w:hAnsi="Times New Roman"/>
          <w:sz w:val="28"/>
          <w:szCs w:val="28"/>
        </w:rPr>
        <w:t xml:space="preserve">, за исключением краевых государственных бюджетных и автономных учреждений, </w:t>
      </w:r>
      <w:r w:rsidRPr="00373A6C">
        <w:rPr>
          <w:rFonts w:ascii="Times New Roman" w:hAnsi="Times New Roman"/>
          <w:sz w:val="28"/>
          <w:szCs w:val="28"/>
        </w:rPr>
        <w:t>субсидий на иные цели</w:t>
      </w:r>
      <w:r w:rsidR="00281A31" w:rsidRPr="00373A6C">
        <w:rPr>
          <w:rFonts w:ascii="Times New Roman" w:hAnsi="Times New Roman"/>
          <w:sz w:val="28"/>
          <w:szCs w:val="28"/>
        </w:rPr>
        <w:t xml:space="preserve"> </w:t>
      </w:r>
      <w:r w:rsidRPr="00373A6C">
        <w:rPr>
          <w:rFonts w:ascii="Times New Roman" w:hAnsi="Times New Roman"/>
          <w:sz w:val="28"/>
          <w:szCs w:val="28"/>
        </w:rPr>
        <w:t>на возмещение недополученных доходов</w:t>
      </w:r>
      <w:r w:rsidR="00373A6C" w:rsidRPr="00373A6C">
        <w:rPr>
          <w:rFonts w:ascii="Times New Roman" w:hAnsi="Times New Roman"/>
          <w:sz w:val="28"/>
          <w:szCs w:val="28"/>
        </w:rPr>
        <w:t xml:space="preserve">, </w:t>
      </w:r>
      <w:r w:rsidR="00373A6C" w:rsidRPr="00373A6C">
        <w:rPr>
          <w:rFonts w:ascii="Times New Roman" w:hAnsi="Times New Roman"/>
          <w:sz w:val="28"/>
          <w:szCs w:val="28"/>
        </w:rPr>
        <w:t>возникших в связи с оказанием потребителям коммунальных услуг по льготным тарифам, устанавливаемым Региональной службой по тарифам и ценам Камчатского края</w:t>
      </w:r>
      <w:r w:rsidR="00373A6C">
        <w:rPr>
          <w:rFonts w:ascii="Times New Roman" w:hAnsi="Times New Roman"/>
          <w:sz w:val="28"/>
          <w:szCs w:val="28"/>
        </w:rPr>
        <w:t xml:space="preserve">, </w:t>
      </w:r>
      <w:r w:rsidR="00DC11AB" w:rsidRPr="00373A6C">
        <w:rPr>
          <w:rFonts w:ascii="Times New Roman" w:hAnsi="Times New Roman"/>
          <w:sz w:val="28"/>
          <w:szCs w:val="28"/>
        </w:rPr>
        <w:t xml:space="preserve">может </w:t>
      </w:r>
      <w:r w:rsidRPr="00373A6C">
        <w:rPr>
          <w:rFonts w:ascii="Times New Roman" w:hAnsi="Times New Roman"/>
          <w:sz w:val="28"/>
          <w:szCs w:val="28"/>
        </w:rPr>
        <w:t>осуществля</w:t>
      </w:r>
      <w:r w:rsidR="00DC11AB" w:rsidRPr="00373A6C">
        <w:rPr>
          <w:rFonts w:ascii="Times New Roman" w:hAnsi="Times New Roman"/>
          <w:sz w:val="28"/>
          <w:szCs w:val="28"/>
        </w:rPr>
        <w:t xml:space="preserve">ться </w:t>
      </w:r>
      <w:r w:rsidRPr="00373A6C">
        <w:rPr>
          <w:rFonts w:ascii="Times New Roman" w:hAnsi="Times New Roman"/>
          <w:sz w:val="28"/>
          <w:szCs w:val="28"/>
        </w:rPr>
        <w:t xml:space="preserve">исполнительными органами Камчатского края, не осуществляющими функции и полномочия учредителя в отношении указанных учреждений. </w:t>
      </w:r>
    </w:p>
    <w:p w:rsidR="005F017B" w:rsidRDefault="00FA4BB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Признать утратившим силу постановление Правительства Камчатского края от 26.11.2020 № 477-П «Об определении исполнительных органов государственной власти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цели».</w:t>
      </w:r>
    </w:p>
    <w:p w:rsidR="005F017B" w:rsidRDefault="00FA4BB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5F017B" w:rsidRDefault="005F017B">
      <w:pPr>
        <w:jc w:val="both"/>
        <w:rPr>
          <w:sz w:val="28"/>
          <w:szCs w:val="28"/>
        </w:rPr>
      </w:pPr>
    </w:p>
    <w:p w:rsidR="005F017B" w:rsidRDefault="005F017B">
      <w:pPr>
        <w:jc w:val="both"/>
        <w:rPr>
          <w:sz w:val="28"/>
          <w:szCs w:val="28"/>
        </w:rPr>
      </w:pPr>
    </w:p>
    <w:p w:rsidR="005F017B" w:rsidRDefault="005F017B">
      <w:pPr>
        <w:ind w:firstLine="709"/>
        <w:contextualSpacing/>
        <w:jc w:val="both"/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686"/>
        <w:gridCol w:w="2409"/>
      </w:tblGrid>
      <w:tr w:rsidR="005F017B">
        <w:trPr>
          <w:trHeight w:val="88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5F017B" w:rsidRDefault="00FA4BB8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5F017B" w:rsidRDefault="005F017B">
            <w:pPr>
              <w:ind w:left="30" w:right="27"/>
            </w:pP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5F017B" w:rsidRDefault="00FA4BB8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5F017B" w:rsidRDefault="005F017B">
            <w:pPr>
              <w:ind w:left="142" w:hanging="142"/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</w:tcPr>
          <w:p w:rsidR="005F017B" w:rsidRDefault="005F017B">
            <w:pPr>
              <w:ind w:right="135"/>
              <w:jc w:val="right"/>
              <w:rPr>
                <w:sz w:val="28"/>
              </w:rPr>
            </w:pPr>
          </w:p>
          <w:p w:rsidR="005F017B" w:rsidRDefault="00FA4BB8">
            <w:pPr>
              <w:jc w:val="right"/>
            </w:pPr>
            <w:r>
              <w:rPr>
                <w:sz w:val="28"/>
              </w:rPr>
              <w:t xml:space="preserve">Е.А. Чекин </w:t>
            </w:r>
          </w:p>
        </w:tc>
      </w:tr>
    </w:tbl>
    <w:p w:rsidR="005F017B" w:rsidRDefault="005F017B">
      <w:pPr>
        <w:pStyle w:val="ConsPlusNormal"/>
        <w:jc w:val="both"/>
      </w:pPr>
    </w:p>
    <w:p w:rsidR="005F017B" w:rsidRDefault="005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F017B">
      <w:headerReference w:type="default" r:id="rId12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7B" w:rsidRDefault="00FA4BB8">
      <w:r>
        <w:separator/>
      </w:r>
    </w:p>
  </w:endnote>
  <w:endnote w:type="continuationSeparator" w:id="0">
    <w:p w:rsidR="005F017B" w:rsidRDefault="00FA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7B" w:rsidRDefault="00FA4BB8">
      <w:r>
        <w:separator/>
      </w:r>
    </w:p>
  </w:footnote>
  <w:footnote w:type="continuationSeparator" w:id="0">
    <w:p w:rsidR="005F017B" w:rsidRDefault="00FA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233558"/>
      <w:docPartObj>
        <w:docPartGallery w:val="Page Numbers (Top of Page)"/>
        <w:docPartUnique/>
      </w:docPartObj>
    </w:sdtPr>
    <w:sdtEndPr/>
    <w:sdtContent>
      <w:p w:rsidR="005F017B" w:rsidRDefault="00FA4BB8">
        <w:pPr>
          <w:pStyle w:val="af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373A6C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F017B" w:rsidRDefault="005F017B">
    <w:pPr>
      <w:pStyle w:val="af6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A1ABA"/>
    <w:multiLevelType w:val="hybridMultilevel"/>
    <w:tmpl w:val="100851DA"/>
    <w:lvl w:ilvl="0" w:tplc="6CE4CD9A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1150AEE6">
      <w:start w:val="1"/>
      <w:numFmt w:val="lowerLetter"/>
      <w:lvlText w:val="%2."/>
      <w:lvlJc w:val="left"/>
      <w:pPr>
        <w:ind w:left="1789" w:hanging="360"/>
      </w:pPr>
    </w:lvl>
    <w:lvl w:ilvl="2" w:tplc="35C8C10A">
      <w:start w:val="1"/>
      <w:numFmt w:val="lowerRoman"/>
      <w:lvlText w:val="%3."/>
      <w:lvlJc w:val="right"/>
      <w:pPr>
        <w:ind w:left="2509" w:hanging="180"/>
      </w:pPr>
    </w:lvl>
    <w:lvl w:ilvl="3" w:tplc="28C6BA5A">
      <w:start w:val="1"/>
      <w:numFmt w:val="decimal"/>
      <w:lvlText w:val="%4."/>
      <w:lvlJc w:val="left"/>
      <w:pPr>
        <w:ind w:left="3229" w:hanging="360"/>
      </w:pPr>
    </w:lvl>
    <w:lvl w:ilvl="4" w:tplc="9E84B1AA">
      <w:start w:val="1"/>
      <w:numFmt w:val="lowerLetter"/>
      <w:lvlText w:val="%5."/>
      <w:lvlJc w:val="left"/>
      <w:pPr>
        <w:ind w:left="3949" w:hanging="360"/>
      </w:pPr>
    </w:lvl>
    <w:lvl w:ilvl="5" w:tplc="4C641456">
      <w:start w:val="1"/>
      <w:numFmt w:val="lowerRoman"/>
      <w:lvlText w:val="%6."/>
      <w:lvlJc w:val="right"/>
      <w:pPr>
        <w:ind w:left="4669" w:hanging="180"/>
      </w:pPr>
    </w:lvl>
    <w:lvl w:ilvl="6" w:tplc="8FD0AC9C">
      <w:start w:val="1"/>
      <w:numFmt w:val="decimal"/>
      <w:lvlText w:val="%7."/>
      <w:lvlJc w:val="left"/>
      <w:pPr>
        <w:ind w:left="5389" w:hanging="360"/>
      </w:pPr>
    </w:lvl>
    <w:lvl w:ilvl="7" w:tplc="48D6959E">
      <w:start w:val="1"/>
      <w:numFmt w:val="lowerLetter"/>
      <w:lvlText w:val="%8."/>
      <w:lvlJc w:val="left"/>
      <w:pPr>
        <w:ind w:left="6109" w:hanging="360"/>
      </w:pPr>
    </w:lvl>
    <w:lvl w:ilvl="8" w:tplc="347CE67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81725"/>
    <w:multiLevelType w:val="hybridMultilevel"/>
    <w:tmpl w:val="361C2714"/>
    <w:lvl w:ilvl="0" w:tplc="8D5C7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744DA48">
      <w:start w:val="1"/>
      <w:numFmt w:val="lowerLetter"/>
      <w:lvlText w:val="%2."/>
      <w:lvlJc w:val="left"/>
      <w:pPr>
        <w:ind w:left="1789" w:hanging="360"/>
      </w:pPr>
    </w:lvl>
    <w:lvl w:ilvl="2" w:tplc="7F8A656A">
      <w:start w:val="1"/>
      <w:numFmt w:val="lowerRoman"/>
      <w:lvlText w:val="%3."/>
      <w:lvlJc w:val="right"/>
      <w:pPr>
        <w:ind w:left="2509" w:hanging="180"/>
      </w:pPr>
    </w:lvl>
    <w:lvl w:ilvl="3" w:tplc="FF367988">
      <w:start w:val="1"/>
      <w:numFmt w:val="decimal"/>
      <w:lvlText w:val="%4."/>
      <w:lvlJc w:val="left"/>
      <w:pPr>
        <w:ind w:left="3229" w:hanging="360"/>
      </w:pPr>
    </w:lvl>
    <w:lvl w:ilvl="4" w:tplc="F48C52FA">
      <w:start w:val="1"/>
      <w:numFmt w:val="lowerLetter"/>
      <w:lvlText w:val="%5."/>
      <w:lvlJc w:val="left"/>
      <w:pPr>
        <w:ind w:left="3949" w:hanging="360"/>
      </w:pPr>
    </w:lvl>
    <w:lvl w:ilvl="5" w:tplc="D2DA9414">
      <w:start w:val="1"/>
      <w:numFmt w:val="lowerRoman"/>
      <w:lvlText w:val="%6."/>
      <w:lvlJc w:val="right"/>
      <w:pPr>
        <w:ind w:left="4669" w:hanging="180"/>
      </w:pPr>
    </w:lvl>
    <w:lvl w:ilvl="6" w:tplc="6A0CB69E">
      <w:start w:val="1"/>
      <w:numFmt w:val="decimal"/>
      <w:lvlText w:val="%7."/>
      <w:lvlJc w:val="left"/>
      <w:pPr>
        <w:ind w:left="5389" w:hanging="360"/>
      </w:pPr>
    </w:lvl>
    <w:lvl w:ilvl="7" w:tplc="5DDE9200">
      <w:start w:val="1"/>
      <w:numFmt w:val="lowerLetter"/>
      <w:lvlText w:val="%8."/>
      <w:lvlJc w:val="left"/>
      <w:pPr>
        <w:ind w:left="6109" w:hanging="360"/>
      </w:pPr>
    </w:lvl>
    <w:lvl w:ilvl="8" w:tplc="85E8794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7B"/>
    <w:rsid w:val="001D2641"/>
    <w:rsid w:val="00202945"/>
    <w:rsid w:val="00281A31"/>
    <w:rsid w:val="00373A6C"/>
    <w:rsid w:val="003A51F3"/>
    <w:rsid w:val="005E5A8E"/>
    <w:rsid w:val="005F017B"/>
    <w:rsid w:val="006453E4"/>
    <w:rsid w:val="006858BD"/>
    <w:rsid w:val="00A931A0"/>
    <w:rsid w:val="00BD0AD9"/>
    <w:rsid w:val="00D54A2B"/>
    <w:rsid w:val="00DC11AB"/>
    <w:rsid w:val="00DD6918"/>
    <w:rsid w:val="00E766FF"/>
    <w:rsid w:val="00F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B69C"/>
  <w15:docId w15:val="{6E7A5FE2-882F-47DA-B43A-B8799200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64" w:lineRule="auto"/>
      <w:outlineLvl w:val="5"/>
    </w:pPr>
    <w:rPr>
      <w:rFonts w:ascii="Arial" w:hAnsi="Arial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 w:line="264" w:lineRule="auto"/>
      <w:outlineLvl w:val="6"/>
    </w:pPr>
    <w:rPr>
      <w:rFonts w:ascii="Arial" w:hAnsi="Arial"/>
      <w:b/>
      <w:i/>
      <w:color w:val="000000"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 w:line="264" w:lineRule="auto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 w:line="264" w:lineRule="auto"/>
      <w:outlineLvl w:val="8"/>
    </w:pPr>
    <w:rPr>
      <w:rFonts w:ascii="Arial" w:hAnsi="Arial"/>
      <w:i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note text"/>
    <w:basedOn w:val="a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styleId="a5">
    <w:name w:val="endnote text"/>
    <w:basedOn w:val="a"/>
    <w:link w:val="a6"/>
    <w:rPr>
      <w:rFonts w:ascii="Calibri" w:hAnsi="Calibri"/>
      <w:color w:val="000000"/>
      <w:sz w:val="20"/>
      <w:szCs w:val="20"/>
    </w:rPr>
  </w:style>
  <w:style w:type="character" w:customStyle="1" w:styleId="a6">
    <w:name w:val="Текст концевой сноски Знак"/>
    <w:basedOn w:val="11"/>
    <w:link w:val="a5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color w:val="000000"/>
      <w:sz w:val="18"/>
      <w:szCs w:val="20"/>
    </w:rPr>
  </w:style>
  <w:style w:type="character" w:customStyle="1" w:styleId="a8">
    <w:name w:val="Текст выноски Знак"/>
    <w:basedOn w:val="11"/>
    <w:link w:val="a7"/>
    <w:rPr>
      <w:rFonts w:ascii="Segoe UI" w:hAnsi="Segoe UI"/>
      <w:sz w:val="18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b">
    <w:name w:val="caption"/>
    <w:basedOn w:val="a"/>
    <w:next w:val="a"/>
    <w:link w:val="ac"/>
    <w:pPr>
      <w:spacing w:after="160" w:line="276" w:lineRule="auto"/>
    </w:pPr>
    <w:rPr>
      <w:rFonts w:ascii="Calibri" w:hAnsi="Calibri"/>
      <w:b/>
      <w:color w:val="5B9BD5" w:themeColor="accent1"/>
      <w:sz w:val="18"/>
      <w:szCs w:val="20"/>
    </w:rPr>
  </w:style>
  <w:style w:type="character" w:customStyle="1" w:styleId="ac">
    <w:name w:val="Название объекта Знак"/>
    <w:basedOn w:val="11"/>
    <w:link w:val="ab"/>
    <w:rPr>
      <w:b/>
      <w:color w:val="5B9BD5" w:themeColor="accent1"/>
      <w:sz w:val="18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8">
    <w:name w:val="Знак сноски1"/>
    <w:basedOn w:val="23"/>
    <w:link w:val="ad"/>
    <w:rPr>
      <w:vertAlign w:val="superscript"/>
    </w:rPr>
  </w:style>
  <w:style w:type="character" w:styleId="ad">
    <w:name w:val="footnote reference"/>
    <w:basedOn w:val="a0"/>
    <w:link w:val="18"/>
    <w:rPr>
      <w:vertAlign w:val="superscript"/>
    </w:rPr>
  </w:style>
  <w:style w:type="paragraph" w:customStyle="1" w:styleId="24">
    <w:name w:val="Гиперссылка2"/>
    <w:link w:val="ae"/>
    <w:rPr>
      <w:color w:val="0000FF"/>
      <w:u w:val="single"/>
    </w:rPr>
  </w:style>
  <w:style w:type="character" w:styleId="ae">
    <w:name w:val="Hyperlink"/>
    <w:link w:val="2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rFonts w:ascii="Calibri" w:hAnsi="Calibri"/>
      <w:color w:val="000000"/>
      <w:sz w:val="18"/>
      <w:szCs w:val="20"/>
    </w:rPr>
  </w:style>
  <w:style w:type="character" w:customStyle="1" w:styleId="Footnote2">
    <w:name w:val="Footnote"/>
    <w:basedOn w:val="11"/>
    <w:link w:val="Footnote1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List Paragraph"/>
    <w:basedOn w:val="a"/>
    <w:link w:val="af0"/>
    <w:uiPriority w:val="34"/>
    <w:qFormat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0">
    <w:name w:val="Абзац списка Знак"/>
    <w:basedOn w:val="11"/>
    <w:link w:val="af"/>
  </w:style>
  <w:style w:type="paragraph" w:customStyle="1" w:styleId="1b">
    <w:name w:val="Знак концевой сноски1"/>
    <w:basedOn w:val="23"/>
    <w:link w:val="af1"/>
    <w:rPr>
      <w:vertAlign w:val="superscript"/>
    </w:rPr>
  </w:style>
  <w:style w:type="character" w:styleId="af1">
    <w:name w:val="endnote reference"/>
    <w:basedOn w:val="a0"/>
    <w:link w:val="1b"/>
    <w:rPr>
      <w:vertAlign w:val="superscript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CaptionChar">
    <w:name w:val="Caption Char"/>
    <w:basedOn w:val="ab"/>
    <w:link w:val="CaptionChar0"/>
  </w:style>
  <w:style w:type="character" w:customStyle="1" w:styleId="CaptionChar0">
    <w:name w:val="Caption Char"/>
    <w:basedOn w:val="ac"/>
    <w:link w:val="CaptionChar"/>
    <w:rPr>
      <w:b/>
      <w:color w:val="5B9BD5" w:themeColor="accent1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2">
    <w:name w:val="table of figures"/>
    <w:basedOn w:val="a"/>
    <w:next w:val="a"/>
    <w:link w:val="af3"/>
    <w:pPr>
      <w:spacing w:line="264" w:lineRule="auto"/>
    </w:pPr>
    <w:rPr>
      <w:rFonts w:ascii="Calibri" w:hAnsi="Calibri"/>
      <w:color w:val="000000"/>
      <w:sz w:val="22"/>
      <w:szCs w:val="20"/>
    </w:rPr>
  </w:style>
  <w:style w:type="character" w:customStyle="1" w:styleId="af3">
    <w:name w:val="Перечень рисунков Знак"/>
    <w:basedOn w:val="11"/>
    <w:link w:val="af2"/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7">
    <w:name w:val="Верхний колонтитул Знак"/>
    <w:basedOn w:val="11"/>
    <w:link w:val="af6"/>
    <w:uiPriority w:val="99"/>
  </w:style>
  <w:style w:type="paragraph" w:styleId="af8">
    <w:name w:val="Plain Text"/>
    <w:basedOn w:val="a"/>
    <w:link w:val="af9"/>
    <w:rPr>
      <w:rFonts w:ascii="Calibri" w:hAnsi="Calibri"/>
      <w:color w:val="000000"/>
      <w:sz w:val="22"/>
      <w:szCs w:val="20"/>
    </w:rPr>
  </w:style>
  <w:style w:type="character" w:customStyle="1" w:styleId="af9">
    <w:name w:val="Текст Знак"/>
    <w:basedOn w:val="11"/>
    <w:link w:val="af8"/>
    <w:rPr>
      <w:rFonts w:ascii="Calibri" w:hAnsi="Calibri"/>
    </w:rPr>
  </w:style>
  <w:style w:type="paragraph" w:styleId="25">
    <w:name w:val="Quote"/>
    <w:basedOn w:val="a"/>
    <w:next w:val="a"/>
    <w:link w:val="26"/>
    <w:pPr>
      <w:spacing w:after="160" w:line="264" w:lineRule="auto"/>
      <w:ind w:left="720" w:right="720"/>
    </w:pPr>
    <w:rPr>
      <w:rFonts w:ascii="Calibri" w:hAnsi="Calibri"/>
      <w:i/>
      <w:color w:val="000000"/>
      <w:sz w:val="22"/>
      <w:szCs w:val="20"/>
    </w:rPr>
  </w:style>
  <w:style w:type="character" w:customStyle="1" w:styleId="26">
    <w:name w:val="Цитата 2 Знак"/>
    <w:basedOn w:val="11"/>
    <w:link w:val="25"/>
    <w:rPr>
      <w:i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b">
    <w:name w:val="Нижний колонтитул Знак"/>
    <w:basedOn w:val="11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paragraph" w:styleId="aff0">
    <w:name w:val="Intense Quote"/>
    <w:basedOn w:val="a"/>
    <w:next w:val="a"/>
    <w:link w:val="aff1"/>
    <w:pPr>
      <w:spacing w:after="160" w:line="264" w:lineRule="auto"/>
      <w:ind w:left="720" w:right="720"/>
    </w:pPr>
    <w:rPr>
      <w:rFonts w:ascii="Calibri" w:hAnsi="Calibri"/>
      <w:i/>
      <w:color w:val="000000"/>
      <w:sz w:val="22"/>
      <w:szCs w:val="20"/>
    </w:rPr>
  </w:style>
  <w:style w:type="character" w:customStyle="1" w:styleId="aff1">
    <w:name w:val="Выделенная цитата Знак"/>
    <w:basedOn w:val="11"/>
    <w:link w:val="aff0"/>
    <w:rPr>
      <w:i/>
    </w:r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1d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cs="Calibri"/>
      <w:b/>
      <w:color w:val="auto"/>
    </w:r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844D-7F3C-4A25-B2EE-5C80329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Инна Юрьевна</dc:creator>
  <cp:lastModifiedBy>Гросфельд Юлия Владимировна</cp:lastModifiedBy>
  <cp:revision>16</cp:revision>
  <dcterms:created xsi:type="dcterms:W3CDTF">2024-10-31T03:19:00Z</dcterms:created>
  <dcterms:modified xsi:type="dcterms:W3CDTF">2024-11-14T02:21:00Z</dcterms:modified>
</cp:coreProperties>
</file>