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7"/>
      </w:tblGrid>
      <w:tr>
        <w:tc>
          <w:tcPr>
            <w:tcW w:type="dxa" w:w="97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28.04.2014 № 200-П «Об утверждении Порядка осуществления ведомственного контроля в сфере закупок товаров, работ, услуг для обеспечения нужд Камчатского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к постановлению Правительства </w:t>
      </w:r>
      <w:r>
        <w:rPr>
          <w:rFonts w:ascii="Times New Roman" w:hAnsi="Times New Roman"/>
          <w:b w:val="0"/>
          <w:color w:val="000000"/>
          <w:sz w:val="28"/>
        </w:rPr>
        <w:t xml:space="preserve">от 28.04.2014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№ 200-П </w:t>
      </w:r>
      <w:r>
        <w:rPr>
          <w:rFonts w:ascii="Times New Roman" w:hAnsi="Times New Roman"/>
          <w:b w:val="0"/>
          <w:color w:val="000000"/>
          <w:sz w:val="28"/>
        </w:rPr>
        <w:t>«Об утверждении Порядка осуществления ведомственного контроля в сфере закупок товаров, работ, услуг для обеспечения нужд Камчатского края»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5000000">
      <w:pPr>
        <w:numPr>
          <w:numId w:val="1"/>
        </w:numPr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части 6 - 8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16000000">
      <w:pPr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«6. Ведомственный контроль осуществляется в соответствии с настоящим Порядком, при этом в случае необходимости, органы ведомственного контроля могут утверждать регламент ведомственного контроля в отношении подведомственных заказчиков. </w:t>
      </w:r>
    </w:p>
    <w:p w14:paraId="17000000">
      <w:pPr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>Орган ведомственного контроля вправе дополнить регламент проведения ведомственного контроля положениями, учитывающими специфику его деятельности. При этом п</w:t>
      </w:r>
      <w:r>
        <w:rPr>
          <w:rFonts w:ascii="Times New Roman" w:hAnsi="Times New Roman"/>
          <w:b w:val="0"/>
          <w:sz w:val="28"/>
        </w:rPr>
        <w:t>оложения регламента ведомственного контрол</w:t>
      </w:r>
      <w:r>
        <w:rPr>
          <w:rFonts w:ascii="Times New Roman" w:hAnsi="Times New Roman"/>
          <w:b w:val="0"/>
          <w:sz w:val="28"/>
        </w:rPr>
        <w:t>я не могут противоречить требованиям настоящего Порядка.</w:t>
      </w:r>
    </w:p>
    <w:p w14:paraId="1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8.</w:t>
      </w:r>
      <w:r>
        <w:rPr>
          <w:rFonts w:ascii="Times New Roman" w:hAnsi="Times New Roman"/>
          <w:sz w:val="28"/>
        </w:rPr>
        <w:t xml:space="preserve"> Регламент проведения ведомственного контроля и вносимые в него изменения должны быть размещены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фициальн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сайт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исполнительных органов Камчатского края </w:t>
      </w:r>
      <w:r>
        <w:rPr>
          <w:rFonts w:ascii="Times New Roman" w:hAnsi="Times New Roman"/>
          <w:sz w:val="28"/>
        </w:rPr>
        <w:t>в ин</w:t>
      </w:r>
      <w:r>
        <w:rPr>
          <w:rFonts w:ascii="Times New Roman" w:hAnsi="Times New Roman"/>
          <w:sz w:val="28"/>
        </w:rPr>
        <w:t>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в течение </w:t>
      </w:r>
      <w:r>
        <w:rPr>
          <w:rFonts w:ascii="Times New Roman" w:hAnsi="Times New Roman"/>
          <w:sz w:val="28"/>
        </w:rPr>
        <w:t>пяти</w:t>
      </w:r>
      <w:r>
        <w:rPr>
          <w:rFonts w:ascii="Times New Roman" w:hAnsi="Times New Roman"/>
          <w:sz w:val="28"/>
        </w:rPr>
        <w:t xml:space="preserve"> рабочих дней со дня их утверждения.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19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«19. Проверки </w:t>
      </w:r>
      <w:r>
        <w:rPr>
          <w:rFonts w:ascii="Times New Roman" w:hAnsi="Times New Roman"/>
          <w:sz w:val="28"/>
        </w:rPr>
        <w:t xml:space="preserve">по форме проведения </w:t>
      </w:r>
      <w:r>
        <w:rPr>
          <w:rFonts w:ascii="Times New Roman" w:hAnsi="Times New Roman"/>
          <w:sz w:val="28"/>
        </w:rPr>
        <w:t>подразделяются на выездные, камеральные или комбинированные.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Под камеральными проверками понимаются проверки, проводимые по месту нахождения органа ведомственного контроля на основании документов и информации,</w:t>
      </w:r>
      <w:r>
        <w:rPr>
          <w:rFonts w:ascii="Times New Roman" w:hAnsi="Times New Roman"/>
          <w:color w:val="000000"/>
          <w:sz w:val="28"/>
        </w:rPr>
        <w:t xml:space="preserve"> представленных по запросу органа ведомственного контроля, </w:t>
      </w:r>
      <w:r>
        <w:rPr>
          <w:rFonts w:ascii="Times New Roman" w:hAnsi="Times New Roman"/>
          <w:color w:val="000000"/>
          <w:sz w:val="28"/>
        </w:rPr>
        <w:t>а также</w:t>
      </w:r>
      <w:r>
        <w:rPr>
          <w:rFonts w:ascii="Times New Roman" w:hAnsi="Times New Roman"/>
          <w:color w:val="000000"/>
          <w:sz w:val="28"/>
        </w:rPr>
        <w:t xml:space="preserve"> размещенных в общедоступных источниках, в том числе в единой информационной системе в сфере закупок.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б) Под выездными проверками понимаются проверки, проводимые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по месту нахождения заказчика.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 Под комбинированными </w:t>
      </w:r>
      <w:r>
        <w:rPr>
          <w:rFonts w:ascii="Times New Roman" w:hAnsi="Times New Roman"/>
          <w:color w:val="000000"/>
          <w:sz w:val="28"/>
        </w:rPr>
        <w:t xml:space="preserve">проверками понимаются понимаются проверки сочетающего </w:t>
      </w:r>
      <w:r>
        <w:rPr>
          <w:rFonts w:ascii="Times New Roman" w:hAnsi="Times New Roman"/>
          <w:sz w:val="28"/>
        </w:rPr>
        <w:t>документарный</w:t>
      </w:r>
      <w:r>
        <w:rPr>
          <w:rFonts w:ascii="Times New Roman" w:hAnsi="Times New Roman"/>
          <w:sz w:val="28"/>
        </w:rPr>
        <w:t xml:space="preserve"> и выездной этапы мероприятия ведомственного контроля</w:t>
      </w:r>
      <w:r>
        <w:rPr>
          <w:rFonts w:ascii="Times New Roman" w:hAnsi="Times New Roman"/>
          <w:sz w:val="28"/>
        </w:rPr>
        <w:t>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часть 26, </w:t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13 части 29 признать утратившими силу;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пункте 4 части 31 слова «выездная или камеральная» заменить словами «</w:t>
      </w:r>
      <w:r>
        <w:rPr>
          <w:rFonts w:ascii="Times New Roman" w:hAnsi="Times New Roman"/>
          <w:sz w:val="28"/>
        </w:rPr>
        <w:t>выездная, камеральная или комбинированная»;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в пункте 8 части 31 после слова «выездного» дополнить словами «или комбинированного»;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пункте 2 части 32 слово «проверки» заменить словами «и комбинированной проверок»;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в пункте 1 части 35 слово «мероприятия» заменить словами «либо комбинированного мероприятия»;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части 48 слова «</w:t>
      </w:r>
      <w:r>
        <w:rPr>
          <w:rFonts w:ascii="Times New Roman" w:hAnsi="Times New Roman"/>
          <w:sz w:val="28"/>
        </w:rPr>
        <w:t xml:space="preserve">в порядке и сроки, установленные регламентом проведения ведомственного контроля» заменить словами «в течение 10 рабочих дней со дня принятия решения, указанного в части 47 Порядка».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/>
    <w:p w14:paraId="2F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3_ch"/>
    <w:link w:val="Style_10"/>
    <w:rPr>
      <w:rFonts w:ascii="Calibri" w:hAnsi="Calibri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Гиперссылка1"/>
    <w:basedOn w:val="Style_12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12_ch"/>
    <w:link w:val="Style_29"/>
    <w:rPr>
      <w:color w:themeColor="hyperlink" w:val="0563C1"/>
      <w:u w:val="single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head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3_ch"/>
    <w:link w:val="Style_31"/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2024-12-19T23:36:08Z</dcterms:modified>
</cp:coreProperties>
</file>