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8F1C60">
              <w:rPr>
                <w:b/>
                <w:sz w:val="28"/>
                <w:szCs w:val="28"/>
              </w:rPr>
              <w:t>й</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BF14AA" w:rsidRDefault="00675AA1" w:rsidP="00BF14AA">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5F4E82" w:rsidRPr="005F4E82">
        <w:rPr>
          <w:sz w:val="28"/>
          <w:szCs w:val="28"/>
        </w:rPr>
        <w:t>изменени</w:t>
      </w:r>
      <w:r w:rsidR="008F1C60">
        <w:rPr>
          <w:sz w:val="28"/>
          <w:szCs w:val="28"/>
        </w:rPr>
        <w:t>я</w:t>
      </w:r>
      <w:r w:rsidR="005F4E82" w:rsidRPr="005F4E82">
        <w:rPr>
          <w:sz w:val="28"/>
          <w:szCs w:val="28"/>
        </w:rPr>
        <w:t>, дополнив кодом бюджетной классификации Российской Федерации следующего содержания</w:t>
      </w:r>
      <w:r w:rsidR="002428F6" w:rsidRPr="00235109">
        <w:rPr>
          <w:sz w:val="28"/>
          <w:szCs w:val="28"/>
        </w:rPr>
        <w:t>:</w:t>
      </w:r>
    </w:p>
    <w:p w:rsidR="005B0A98" w:rsidRPr="008F1C60" w:rsidRDefault="001307C6" w:rsidP="005B0A98">
      <w:pPr>
        <w:ind w:firstLine="709"/>
        <w:contextualSpacing/>
        <w:jc w:val="both"/>
        <w:rPr>
          <w:sz w:val="28"/>
          <w:szCs w:val="28"/>
        </w:rPr>
      </w:pPr>
      <w:r>
        <w:rPr>
          <w:sz w:val="28"/>
          <w:szCs w:val="28"/>
        </w:rPr>
        <w:t>«81</w:t>
      </w:r>
      <w:r w:rsidR="008F1C60">
        <w:rPr>
          <w:sz w:val="28"/>
          <w:szCs w:val="28"/>
        </w:rPr>
        <w:t>2</w:t>
      </w:r>
      <w:r w:rsidR="005F4E82">
        <w:rPr>
          <w:sz w:val="28"/>
          <w:szCs w:val="28"/>
        </w:rPr>
        <w:t xml:space="preserve"> 2 </w:t>
      </w:r>
      <w:r>
        <w:rPr>
          <w:sz w:val="28"/>
          <w:szCs w:val="28"/>
        </w:rPr>
        <w:t>18</w:t>
      </w:r>
      <w:r w:rsidR="005F4E82">
        <w:rPr>
          <w:sz w:val="28"/>
          <w:szCs w:val="28"/>
        </w:rPr>
        <w:t xml:space="preserve"> </w:t>
      </w:r>
      <w:r w:rsidR="008F1C60">
        <w:rPr>
          <w:sz w:val="28"/>
          <w:szCs w:val="28"/>
        </w:rPr>
        <w:t>45424</w:t>
      </w:r>
      <w:r w:rsidR="005F4E82">
        <w:rPr>
          <w:sz w:val="28"/>
          <w:szCs w:val="28"/>
        </w:rPr>
        <w:t xml:space="preserve"> 02 0000 150 </w:t>
      </w:r>
      <w:r w:rsidR="008F1C60" w:rsidRPr="008F1C60">
        <w:rPr>
          <w:sz w:val="28"/>
          <w:szCs w:val="28"/>
        </w:rPr>
        <w:t>Доходы бюджетов субъектов Российской Федерации от возврата остатков иных межбюджетных трансфертов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из бюджетов муниципальных образований</w:t>
      </w:r>
      <w:r w:rsidR="005F4E82">
        <w:rPr>
          <w:sz w:val="28"/>
          <w:szCs w:val="28"/>
        </w:rPr>
        <w:t>»</w:t>
      </w:r>
      <w:r w:rsidR="008F1C60" w:rsidRPr="008F1C60">
        <w:rPr>
          <w:sz w:val="28"/>
          <w:szCs w:val="28"/>
        </w:rPr>
        <w:t>;</w:t>
      </w:r>
    </w:p>
    <w:p w:rsidR="008F1C60" w:rsidRDefault="008F1C60" w:rsidP="00D52640">
      <w:pPr>
        <w:ind w:firstLine="709"/>
        <w:contextualSpacing/>
        <w:jc w:val="both"/>
        <w:rPr>
          <w:sz w:val="28"/>
          <w:szCs w:val="28"/>
        </w:rPr>
      </w:pPr>
      <w:r>
        <w:rPr>
          <w:sz w:val="28"/>
          <w:szCs w:val="28"/>
        </w:rPr>
        <w:t xml:space="preserve">«812 2 18 25505 02 0000 150 </w:t>
      </w:r>
      <w:r w:rsidRPr="008F1C60">
        <w:rPr>
          <w:sz w:val="28"/>
          <w:szCs w:val="28"/>
        </w:rPr>
        <w:t>Доходы бюджетов субъектов Российской Федерации от возврата остатков субсидий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из бюджетов муниципальных образований</w:t>
      </w:r>
      <w:r>
        <w:rPr>
          <w:sz w:val="28"/>
          <w:szCs w:val="28"/>
        </w:rPr>
        <w:t>».</w:t>
      </w:r>
      <w:bookmarkStart w:id="1" w:name="_GoBack"/>
      <w:bookmarkEnd w:id="1"/>
    </w:p>
    <w:p w:rsidR="00D53179" w:rsidRPr="00D52640" w:rsidRDefault="007A5C72" w:rsidP="00D52640">
      <w:pPr>
        <w:ind w:firstLine="709"/>
        <w:contextualSpacing/>
        <w:jc w:val="both"/>
        <w:rPr>
          <w:sz w:val="28"/>
          <w:szCs w:val="28"/>
        </w:rPr>
      </w:pPr>
      <w:r>
        <w:rPr>
          <w:sz w:val="28"/>
          <w:szCs w:val="28"/>
        </w:rPr>
        <w:t>2</w:t>
      </w:r>
      <w:r w:rsidR="00675AA1" w:rsidRPr="00C92E9A">
        <w:rPr>
          <w:sz w:val="28"/>
          <w:szCs w:val="28"/>
        </w:rPr>
        <w:t xml:space="preserve">. </w:t>
      </w:r>
      <w:r w:rsidR="00F16B78" w:rsidRPr="00D52640">
        <w:rPr>
          <w:sz w:val="28"/>
          <w:szCs w:val="28"/>
        </w:rPr>
        <w:t>Настоящий приказ вступает в силу после дня его официального опубликования</w:t>
      </w:r>
      <w:r w:rsidR="003A4DC2" w:rsidRPr="00D52640">
        <w:rPr>
          <w:sz w:val="28"/>
          <w:szCs w:val="28"/>
        </w:rPr>
        <w:t>.</w:t>
      </w:r>
    </w:p>
    <w:p w:rsidR="00F76EF9" w:rsidRDefault="00F76EF9" w:rsidP="008F2B2C">
      <w:pPr>
        <w:ind w:firstLine="709"/>
        <w:jc w:val="both"/>
        <w:rPr>
          <w:bCs/>
          <w:sz w:val="28"/>
          <w:szCs w:val="28"/>
        </w:rPr>
      </w:pPr>
    </w:p>
    <w:p w:rsidR="0041648F" w:rsidRDefault="0041648F" w:rsidP="008F2B2C">
      <w:pPr>
        <w:ind w:firstLine="709"/>
        <w:jc w:val="both"/>
        <w:rPr>
          <w:bCs/>
          <w:sz w:val="28"/>
          <w:szCs w:val="28"/>
        </w:rPr>
      </w:pPr>
    </w:p>
    <w:p w:rsidR="005F4E82" w:rsidRPr="00A576F6" w:rsidRDefault="005F4E82"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5F4E82">
        <w:trPr>
          <w:trHeight w:val="227"/>
        </w:trPr>
        <w:tc>
          <w:tcPr>
            <w:tcW w:w="3029" w:type="dxa"/>
            <w:shd w:val="clear" w:color="auto" w:fill="auto"/>
            <w:tcMar>
              <w:left w:w="0" w:type="dxa"/>
              <w:right w:w="0" w:type="dxa"/>
            </w:tcMar>
          </w:tcPr>
          <w:p w:rsidR="0046569C" w:rsidRDefault="0046569C" w:rsidP="005F4E82">
            <w:pPr>
              <w:ind w:right="27"/>
            </w:pPr>
            <w:r>
              <w:rPr>
                <w:sz w:val="28"/>
              </w:rPr>
              <w:t>Министр</w:t>
            </w: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Default="00641ACF" w:rsidP="00EC6903">
            <w:pPr>
              <w:jc w:val="right"/>
            </w:pPr>
            <w:r>
              <w:rPr>
                <w:sz w:val="28"/>
              </w:rPr>
              <w:t>А.Н. Бутылин</w:t>
            </w:r>
          </w:p>
        </w:tc>
      </w:tr>
    </w:tbl>
    <w:p w:rsidR="005F4E82" w:rsidRDefault="005F4E82" w:rsidP="005F4E82">
      <w:pPr>
        <w:jc w:val="both"/>
      </w:pPr>
    </w:p>
    <w:sectPr w:rsidR="005F4E82" w:rsidSect="00731645">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5D4"/>
    <w:rsid w:val="00094A51"/>
    <w:rsid w:val="00095795"/>
    <w:rsid w:val="00097504"/>
    <w:rsid w:val="000B1239"/>
    <w:rsid w:val="000C2DB2"/>
    <w:rsid w:val="000C7139"/>
    <w:rsid w:val="000E4543"/>
    <w:rsid w:val="000E53EF"/>
    <w:rsid w:val="000E7450"/>
    <w:rsid w:val="00103B13"/>
    <w:rsid w:val="00112C1A"/>
    <w:rsid w:val="00113F00"/>
    <w:rsid w:val="0011798C"/>
    <w:rsid w:val="00127C2F"/>
    <w:rsid w:val="001307C6"/>
    <w:rsid w:val="00140E22"/>
    <w:rsid w:val="00140FEB"/>
    <w:rsid w:val="001456CA"/>
    <w:rsid w:val="00180140"/>
    <w:rsid w:val="001816C0"/>
    <w:rsid w:val="00181702"/>
    <w:rsid w:val="00181A55"/>
    <w:rsid w:val="0018739B"/>
    <w:rsid w:val="001A102A"/>
    <w:rsid w:val="001C15D6"/>
    <w:rsid w:val="001C4098"/>
    <w:rsid w:val="001D00F5"/>
    <w:rsid w:val="001D1202"/>
    <w:rsid w:val="001D418F"/>
    <w:rsid w:val="001D4724"/>
    <w:rsid w:val="001F2DBF"/>
    <w:rsid w:val="00212D10"/>
    <w:rsid w:val="00213104"/>
    <w:rsid w:val="00233FCB"/>
    <w:rsid w:val="00235109"/>
    <w:rsid w:val="002428F6"/>
    <w:rsid w:val="0024385A"/>
    <w:rsid w:val="00243A93"/>
    <w:rsid w:val="00250BED"/>
    <w:rsid w:val="00257670"/>
    <w:rsid w:val="00295AC8"/>
    <w:rsid w:val="002A7886"/>
    <w:rsid w:val="002B2A13"/>
    <w:rsid w:val="002C0D36"/>
    <w:rsid w:val="002C26A3"/>
    <w:rsid w:val="002C2B5A"/>
    <w:rsid w:val="002C5B0F"/>
    <w:rsid w:val="002D0FF4"/>
    <w:rsid w:val="002D48C3"/>
    <w:rsid w:val="002D5D0F"/>
    <w:rsid w:val="002E4E87"/>
    <w:rsid w:val="002F3844"/>
    <w:rsid w:val="0030022E"/>
    <w:rsid w:val="00313CF4"/>
    <w:rsid w:val="0031799B"/>
    <w:rsid w:val="00327B6F"/>
    <w:rsid w:val="00357395"/>
    <w:rsid w:val="00361DD5"/>
    <w:rsid w:val="00367BB8"/>
    <w:rsid w:val="0037231B"/>
    <w:rsid w:val="00374923"/>
    <w:rsid w:val="00374C3C"/>
    <w:rsid w:val="0038403D"/>
    <w:rsid w:val="00392E42"/>
    <w:rsid w:val="00397C94"/>
    <w:rsid w:val="003A0A7A"/>
    <w:rsid w:val="003A4DC2"/>
    <w:rsid w:val="003B0709"/>
    <w:rsid w:val="003B19F7"/>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19E"/>
    <w:rsid w:val="00466B97"/>
    <w:rsid w:val="00477CC5"/>
    <w:rsid w:val="00484749"/>
    <w:rsid w:val="004A0C39"/>
    <w:rsid w:val="004B221A"/>
    <w:rsid w:val="004D2274"/>
    <w:rsid w:val="004E00B2"/>
    <w:rsid w:val="004E1446"/>
    <w:rsid w:val="004E1488"/>
    <w:rsid w:val="004E554E"/>
    <w:rsid w:val="004E6A87"/>
    <w:rsid w:val="004F02BC"/>
    <w:rsid w:val="004F41F0"/>
    <w:rsid w:val="00503FC3"/>
    <w:rsid w:val="00505EEE"/>
    <w:rsid w:val="00507E0C"/>
    <w:rsid w:val="00525D1B"/>
    <w:rsid w:val="005271B3"/>
    <w:rsid w:val="00536A1E"/>
    <w:rsid w:val="0054115A"/>
    <w:rsid w:val="005518A1"/>
    <w:rsid w:val="00552F3D"/>
    <w:rsid w:val="00554CE5"/>
    <w:rsid w:val="005578C9"/>
    <w:rsid w:val="00563B33"/>
    <w:rsid w:val="00576D34"/>
    <w:rsid w:val="005846D7"/>
    <w:rsid w:val="005A41EA"/>
    <w:rsid w:val="005A46F6"/>
    <w:rsid w:val="005B05F7"/>
    <w:rsid w:val="005B0A98"/>
    <w:rsid w:val="005D2494"/>
    <w:rsid w:val="005D5722"/>
    <w:rsid w:val="005E0E39"/>
    <w:rsid w:val="005F10B0"/>
    <w:rsid w:val="005F11A7"/>
    <w:rsid w:val="005F1F7D"/>
    <w:rsid w:val="005F4E82"/>
    <w:rsid w:val="00610A51"/>
    <w:rsid w:val="00610C53"/>
    <w:rsid w:val="00613A9D"/>
    <w:rsid w:val="0061780A"/>
    <w:rsid w:val="006208DA"/>
    <w:rsid w:val="006271E6"/>
    <w:rsid w:val="00627634"/>
    <w:rsid w:val="00631037"/>
    <w:rsid w:val="00641ACF"/>
    <w:rsid w:val="00646058"/>
    <w:rsid w:val="00650CAB"/>
    <w:rsid w:val="00651373"/>
    <w:rsid w:val="00663D27"/>
    <w:rsid w:val="00672DF6"/>
    <w:rsid w:val="00675AA1"/>
    <w:rsid w:val="00680C5B"/>
    <w:rsid w:val="00681BFE"/>
    <w:rsid w:val="00682DCC"/>
    <w:rsid w:val="00684735"/>
    <w:rsid w:val="0069601C"/>
    <w:rsid w:val="006A541B"/>
    <w:rsid w:val="006B115E"/>
    <w:rsid w:val="006C4349"/>
    <w:rsid w:val="006E54AE"/>
    <w:rsid w:val="006E593A"/>
    <w:rsid w:val="006E6DA5"/>
    <w:rsid w:val="006F03FA"/>
    <w:rsid w:val="006F4182"/>
    <w:rsid w:val="006F5D44"/>
    <w:rsid w:val="006F7126"/>
    <w:rsid w:val="00704C5C"/>
    <w:rsid w:val="00705D15"/>
    <w:rsid w:val="00724C5B"/>
    <w:rsid w:val="00725A0F"/>
    <w:rsid w:val="00731645"/>
    <w:rsid w:val="007332AC"/>
    <w:rsid w:val="007338BC"/>
    <w:rsid w:val="00736848"/>
    <w:rsid w:val="0074156B"/>
    <w:rsid w:val="00741752"/>
    <w:rsid w:val="00744B7F"/>
    <w:rsid w:val="007638A0"/>
    <w:rsid w:val="00776C8D"/>
    <w:rsid w:val="007A40C8"/>
    <w:rsid w:val="007A5C72"/>
    <w:rsid w:val="007B3851"/>
    <w:rsid w:val="007C4604"/>
    <w:rsid w:val="007D3340"/>
    <w:rsid w:val="007D640B"/>
    <w:rsid w:val="007D7445"/>
    <w:rsid w:val="007D746A"/>
    <w:rsid w:val="007E343B"/>
    <w:rsid w:val="007E7ADA"/>
    <w:rsid w:val="007F041D"/>
    <w:rsid w:val="007F3D5B"/>
    <w:rsid w:val="007F6508"/>
    <w:rsid w:val="007F7A62"/>
    <w:rsid w:val="008004DC"/>
    <w:rsid w:val="00812B9A"/>
    <w:rsid w:val="00825303"/>
    <w:rsid w:val="00851AC4"/>
    <w:rsid w:val="008520AD"/>
    <w:rsid w:val="0085578D"/>
    <w:rsid w:val="00860C71"/>
    <w:rsid w:val="008708D4"/>
    <w:rsid w:val="00881C7B"/>
    <w:rsid w:val="00885C3E"/>
    <w:rsid w:val="0089042F"/>
    <w:rsid w:val="0089158D"/>
    <w:rsid w:val="00894735"/>
    <w:rsid w:val="008B1995"/>
    <w:rsid w:val="008B3AEE"/>
    <w:rsid w:val="008B668F"/>
    <w:rsid w:val="008C0054"/>
    <w:rsid w:val="008D6646"/>
    <w:rsid w:val="008D7127"/>
    <w:rsid w:val="008E4107"/>
    <w:rsid w:val="008F1C60"/>
    <w:rsid w:val="008F2635"/>
    <w:rsid w:val="008F2B2C"/>
    <w:rsid w:val="008F30AC"/>
    <w:rsid w:val="00900D44"/>
    <w:rsid w:val="00907229"/>
    <w:rsid w:val="0091585A"/>
    <w:rsid w:val="00925ACF"/>
    <w:rsid w:val="00925E4D"/>
    <w:rsid w:val="009277F0"/>
    <w:rsid w:val="0093395B"/>
    <w:rsid w:val="0094073A"/>
    <w:rsid w:val="0095264E"/>
    <w:rsid w:val="0095344D"/>
    <w:rsid w:val="00961546"/>
    <w:rsid w:val="00963270"/>
    <w:rsid w:val="00963981"/>
    <w:rsid w:val="0096751B"/>
    <w:rsid w:val="00976CE3"/>
    <w:rsid w:val="0099384D"/>
    <w:rsid w:val="00997410"/>
    <w:rsid w:val="00997969"/>
    <w:rsid w:val="009A2D81"/>
    <w:rsid w:val="009A471F"/>
    <w:rsid w:val="009D1FEE"/>
    <w:rsid w:val="009E0173"/>
    <w:rsid w:val="009E6910"/>
    <w:rsid w:val="009E69C7"/>
    <w:rsid w:val="009F320C"/>
    <w:rsid w:val="00A0738A"/>
    <w:rsid w:val="00A2020A"/>
    <w:rsid w:val="00A220ED"/>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A31D7"/>
    <w:rsid w:val="00AB3ECC"/>
    <w:rsid w:val="00AB5BD3"/>
    <w:rsid w:val="00AB7A1D"/>
    <w:rsid w:val="00AD551B"/>
    <w:rsid w:val="00AE2D06"/>
    <w:rsid w:val="00AE358A"/>
    <w:rsid w:val="00AE6EEF"/>
    <w:rsid w:val="00B11806"/>
    <w:rsid w:val="00B12F65"/>
    <w:rsid w:val="00B17A8B"/>
    <w:rsid w:val="00B24FF8"/>
    <w:rsid w:val="00B32282"/>
    <w:rsid w:val="00B33D76"/>
    <w:rsid w:val="00B35D12"/>
    <w:rsid w:val="00B40DAA"/>
    <w:rsid w:val="00B44D16"/>
    <w:rsid w:val="00B47368"/>
    <w:rsid w:val="00B625E9"/>
    <w:rsid w:val="00B66EEF"/>
    <w:rsid w:val="00B759EC"/>
    <w:rsid w:val="00B75E4C"/>
    <w:rsid w:val="00B81EC3"/>
    <w:rsid w:val="00B82296"/>
    <w:rsid w:val="00B831E8"/>
    <w:rsid w:val="00B833C0"/>
    <w:rsid w:val="00B8456D"/>
    <w:rsid w:val="00B87E09"/>
    <w:rsid w:val="00B96993"/>
    <w:rsid w:val="00BA6144"/>
    <w:rsid w:val="00BA6DC7"/>
    <w:rsid w:val="00BB478D"/>
    <w:rsid w:val="00BD13FF"/>
    <w:rsid w:val="00BD6085"/>
    <w:rsid w:val="00BD652A"/>
    <w:rsid w:val="00BE1E47"/>
    <w:rsid w:val="00BE2FB5"/>
    <w:rsid w:val="00BE6563"/>
    <w:rsid w:val="00BE6B46"/>
    <w:rsid w:val="00BF1148"/>
    <w:rsid w:val="00BF14AA"/>
    <w:rsid w:val="00BF2975"/>
    <w:rsid w:val="00BF3269"/>
    <w:rsid w:val="00C04181"/>
    <w:rsid w:val="00C17533"/>
    <w:rsid w:val="00C211E9"/>
    <w:rsid w:val="00C366DA"/>
    <w:rsid w:val="00C37B1E"/>
    <w:rsid w:val="00C442AB"/>
    <w:rsid w:val="00C4562D"/>
    <w:rsid w:val="00C502D0"/>
    <w:rsid w:val="00C52479"/>
    <w:rsid w:val="00C5596B"/>
    <w:rsid w:val="00C60FE1"/>
    <w:rsid w:val="00C6119D"/>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52640"/>
    <w:rsid w:val="00D53179"/>
    <w:rsid w:val="00D738D4"/>
    <w:rsid w:val="00D73907"/>
    <w:rsid w:val="00D739C4"/>
    <w:rsid w:val="00D8142F"/>
    <w:rsid w:val="00D87509"/>
    <w:rsid w:val="00D928E2"/>
    <w:rsid w:val="00DB0461"/>
    <w:rsid w:val="00DB7321"/>
    <w:rsid w:val="00DC1142"/>
    <w:rsid w:val="00DC1CC2"/>
    <w:rsid w:val="00DC4951"/>
    <w:rsid w:val="00DD3A94"/>
    <w:rsid w:val="00DD62BE"/>
    <w:rsid w:val="00DF3901"/>
    <w:rsid w:val="00DF3A35"/>
    <w:rsid w:val="00E06F0E"/>
    <w:rsid w:val="00E14372"/>
    <w:rsid w:val="00E159EE"/>
    <w:rsid w:val="00E21060"/>
    <w:rsid w:val="00E232CD"/>
    <w:rsid w:val="00E40D0A"/>
    <w:rsid w:val="00E43CC4"/>
    <w:rsid w:val="00E5075F"/>
    <w:rsid w:val="00E61A8D"/>
    <w:rsid w:val="00E6214E"/>
    <w:rsid w:val="00E72DA7"/>
    <w:rsid w:val="00E74440"/>
    <w:rsid w:val="00E8524F"/>
    <w:rsid w:val="00EB33FA"/>
    <w:rsid w:val="00EC2DBB"/>
    <w:rsid w:val="00EC4B01"/>
    <w:rsid w:val="00EC6903"/>
    <w:rsid w:val="00EF524F"/>
    <w:rsid w:val="00F01E11"/>
    <w:rsid w:val="00F07DED"/>
    <w:rsid w:val="00F148B5"/>
    <w:rsid w:val="00F15B3B"/>
    <w:rsid w:val="00F16B78"/>
    <w:rsid w:val="00F31EAA"/>
    <w:rsid w:val="00F46EC1"/>
    <w:rsid w:val="00F47390"/>
    <w:rsid w:val="00F522F8"/>
    <w:rsid w:val="00F52709"/>
    <w:rsid w:val="00F54DB1"/>
    <w:rsid w:val="00F54E2E"/>
    <w:rsid w:val="00F63133"/>
    <w:rsid w:val="00F70D1E"/>
    <w:rsid w:val="00F76EF9"/>
    <w:rsid w:val="00F81A81"/>
    <w:rsid w:val="00F8207B"/>
    <w:rsid w:val="00FB47AC"/>
    <w:rsid w:val="00FB5630"/>
    <w:rsid w:val="00FC5EC8"/>
    <w:rsid w:val="00FD4111"/>
    <w:rsid w:val="00FD6D8F"/>
    <w:rsid w:val="00FE0846"/>
    <w:rsid w:val="00FE2BF1"/>
    <w:rsid w:val="00FE6060"/>
    <w:rsid w:val="00FF1F42"/>
    <w:rsid w:val="00FF2ED1"/>
    <w:rsid w:val="00FF7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0A98"/>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 w:type="character" w:customStyle="1" w:styleId="docdata">
    <w:name w:val="docdata"/>
    <w:aliases w:val="docy,v5,964,bqiaagaaeyqcaaagiaiaaamrawaabtkdaaaaaaaaaaaaaaaaaaaaaaaaaaaaaaaaaaaaaaaaaaaaaaaaaaaaaaaaaaaaaaaaaaaaaaaaaaaaaaaaaaaaaaaaaaaaaaaaaaaaaaaaaaaaaaaaaaaaaaaaaaaaaaaaaaaaaaaaaaaaaaaaaaaaaaaaaaaaaaaaaaaaaaaaaaaaaaaaaaaaaaaaaaaaaaaaaaaaaaaaa"/>
    <w:basedOn w:val="a0"/>
    <w:rsid w:val="00891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161091227">
      <w:bodyDiv w:val="1"/>
      <w:marLeft w:val="0"/>
      <w:marRight w:val="0"/>
      <w:marTop w:val="0"/>
      <w:marBottom w:val="0"/>
      <w:divBdr>
        <w:top w:val="none" w:sz="0" w:space="0" w:color="auto"/>
        <w:left w:val="none" w:sz="0" w:space="0" w:color="auto"/>
        <w:bottom w:val="none" w:sz="0" w:space="0" w:color="auto"/>
        <w:right w:val="none" w:sz="0" w:space="0" w:color="auto"/>
      </w:divBdr>
    </w:div>
    <w:div w:id="252130430">
      <w:bodyDiv w:val="1"/>
      <w:marLeft w:val="0"/>
      <w:marRight w:val="0"/>
      <w:marTop w:val="0"/>
      <w:marBottom w:val="0"/>
      <w:divBdr>
        <w:top w:val="none" w:sz="0" w:space="0" w:color="auto"/>
        <w:left w:val="none" w:sz="0" w:space="0" w:color="auto"/>
        <w:bottom w:val="none" w:sz="0" w:space="0" w:color="auto"/>
        <w:right w:val="none" w:sz="0" w:space="0" w:color="auto"/>
      </w:divBdr>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66118142">
      <w:bodyDiv w:val="1"/>
      <w:marLeft w:val="0"/>
      <w:marRight w:val="0"/>
      <w:marTop w:val="0"/>
      <w:marBottom w:val="0"/>
      <w:divBdr>
        <w:top w:val="none" w:sz="0" w:space="0" w:color="auto"/>
        <w:left w:val="none" w:sz="0" w:space="0" w:color="auto"/>
        <w:bottom w:val="none" w:sz="0" w:space="0" w:color="auto"/>
        <w:right w:val="none" w:sz="0" w:space="0" w:color="auto"/>
      </w:divBdr>
    </w:div>
    <w:div w:id="786237894">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12405360">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50831016">
      <w:bodyDiv w:val="1"/>
      <w:marLeft w:val="0"/>
      <w:marRight w:val="0"/>
      <w:marTop w:val="0"/>
      <w:marBottom w:val="0"/>
      <w:divBdr>
        <w:top w:val="none" w:sz="0" w:space="0" w:color="auto"/>
        <w:left w:val="none" w:sz="0" w:space="0" w:color="auto"/>
        <w:bottom w:val="none" w:sz="0" w:space="0" w:color="auto"/>
        <w:right w:val="none" w:sz="0" w:space="0" w:color="auto"/>
      </w:divBdr>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255892843">
      <w:bodyDiv w:val="1"/>
      <w:marLeft w:val="0"/>
      <w:marRight w:val="0"/>
      <w:marTop w:val="0"/>
      <w:marBottom w:val="0"/>
      <w:divBdr>
        <w:top w:val="none" w:sz="0" w:space="0" w:color="auto"/>
        <w:left w:val="none" w:sz="0" w:space="0" w:color="auto"/>
        <w:bottom w:val="none" w:sz="0" w:space="0" w:color="auto"/>
        <w:right w:val="none" w:sz="0" w:space="0" w:color="auto"/>
      </w:divBdr>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1827892208">
      <w:bodyDiv w:val="1"/>
      <w:marLeft w:val="0"/>
      <w:marRight w:val="0"/>
      <w:marTop w:val="0"/>
      <w:marBottom w:val="0"/>
      <w:divBdr>
        <w:top w:val="none" w:sz="0" w:space="0" w:color="auto"/>
        <w:left w:val="none" w:sz="0" w:space="0" w:color="auto"/>
        <w:bottom w:val="none" w:sz="0" w:space="0" w:color="auto"/>
        <w:right w:val="none" w:sz="0" w:space="0" w:color="auto"/>
      </w:divBdr>
    </w:div>
    <w:div w:id="1949313766">
      <w:bodyDiv w:val="1"/>
      <w:marLeft w:val="0"/>
      <w:marRight w:val="0"/>
      <w:marTop w:val="0"/>
      <w:marBottom w:val="0"/>
      <w:divBdr>
        <w:top w:val="none" w:sz="0" w:space="0" w:color="auto"/>
        <w:left w:val="none" w:sz="0" w:space="0" w:color="auto"/>
        <w:bottom w:val="none" w:sz="0" w:space="0" w:color="auto"/>
        <w:right w:val="none" w:sz="0" w:space="0" w:color="auto"/>
      </w:divBdr>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 w:id="20455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31AF2-4CDB-4280-A695-5ADDD59DE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1646</TotalTime>
  <Pages>2</Pages>
  <Words>291</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26</cp:revision>
  <cp:lastPrinted>2023-09-12T23:14:00Z</cp:lastPrinted>
  <dcterms:created xsi:type="dcterms:W3CDTF">2024-11-08T02:11:00Z</dcterms:created>
  <dcterms:modified xsi:type="dcterms:W3CDTF">2025-04-16T21:44:00Z</dcterms:modified>
</cp:coreProperties>
</file>