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F85" w:rsidRDefault="00977F85" w:rsidP="00977F85">
      <w:pPr>
        <w:pStyle w:val="a3"/>
        <w:spacing w:before="105" w:beforeAutospacing="0" w:after="105" w:afterAutospacing="0"/>
        <w:jc w:val="center"/>
      </w:pPr>
      <w:r>
        <w:t> </w:t>
      </w:r>
      <w:r>
        <w:rPr>
          <w:b/>
          <w:bCs/>
          <w:sz w:val="28"/>
          <w:szCs w:val="28"/>
        </w:rPr>
        <w:t xml:space="preserve">Импорт формы 0503152 </w:t>
      </w:r>
    </w:p>
    <w:p w:rsidR="00977F85" w:rsidRDefault="00977F85" w:rsidP="00977F85">
      <w:pPr>
        <w:pStyle w:val="a3"/>
        <w:spacing w:before="105" w:beforeAutospacing="0" w:after="105" w:afterAutospacing="0"/>
        <w:jc w:val="center"/>
      </w:pPr>
      <w:r>
        <w:rPr>
          <w:b/>
          <w:bCs/>
          <w:sz w:val="28"/>
          <w:szCs w:val="28"/>
        </w:rPr>
        <w:t>для осуществления сверки бюджетной отчетности органов субъектов Российской Федерации, муниципальных образований (Финансовые органы) с данными территориальных органов Федерального казначейства (ТОФК)</w:t>
      </w:r>
    </w:p>
    <w:p w:rsidR="00977F85" w:rsidRDefault="00977F85" w:rsidP="00DB660B">
      <w:pPr>
        <w:pStyle w:val="a3"/>
        <w:ind w:firstLine="360"/>
        <w:jc w:val="both"/>
      </w:pPr>
      <w:r>
        <w:t xml:space="preserve"> Для осуществления сверки необходимо импортировать данные, полученные  из органа казначейства (ТОФК)  формы 0503152 “ Консолидированный отчет о кассовых поступлениях и выбытиях ” в форму  652. Формат передачи должен соответствовать действующим на  момент передачи «Требованиям к форматам и способам передачи в электронном виде в Федеральное казначейство текстовых файлов с данными </w:t>
      </w:r>
      <w:r w:rsidR="00DB660B">
        <w:t>на регламентную дату (годовая,  квартальная,  месячная</w:t>
      </w:r>
      <w:r>
        <w:t xml:space="preserve"> отчетности</w:t>
      </w:r>
      <w:r w:rsidR="00DB660B">
        <w:t>)</w:t>
      </w:r>
      <w:r>
        <w:t xml:space="preserve"> об исполнении бюджетов бюджетной системы Российской Федерации, представляемой управлениями Федерального казначейства по субъектам Российской Федерации».  </w:t>
      </w:r>
      <w:proofErr w:type="gramStart"/>
      <w:r>
        <w:t>Текстовый</w:t>
      </w:r>
      <w:proofErr w:type="gramEnd"/>
      <w:r>
        <w:t xml:space="preserve"> файла формы 0503152 может быть следующих типов:</w:t>
      </w:r>
    </w:p>
    <w:p w:rsidR="00977F85" w:rsidRDefault="00977F85" w:rsidP="00977F85">
      <w:pPr>
        <w:pStyle w:val="a3"/>
        <w:ind w:firstLine="360"/>
        <w:jc w:val="both"/>
      </w:pPr>
      <w:r>
        <w:t xml:space="preserve">- с расширением </w:t>
      </w:r>
      <w:proofErr w:type="spellStart"/>
      <w:r>
        <w:rPr>
          <w:lang w:val="en-US"/>
        </w:rPr>
        <w:t>KSx</w:t>
      </w:r>
      <w:proofErr w:type="spellEnd"/>
      <w:r>
        <w:t xml:space="preserve"> (где х – любая цифра)</w:t>
      </w:r>
    </w:p>
    <w:p w:rsidR="00977F85" w:rsidRDefault="00977F85" w:rsidP="00977F85">
      <w:pPr>
        <w:pStyle w:val="a3"/>
        <w:ind w:firstLine="360"/>
        <w:jc w:val="both"/>
      </w:pPr>
      <w:r>
        <w:rPr>
          <w:noProof/>
          <w:lang w:bidi="ug-CN"/>
        </w:rPr>
        <w:drawing>
          <wp:inline distT="0" distB="0" distL="0" distR="0" wp14:anchorId="1D5552B9" wp14:editId="467A33D3">
            <wp:extent cx="5940425" cy="3343903"/>
            <wp:effectExtent l="0" t="0" r="317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3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7F85" w:rsidRDefault="00977F85" w:rsidP="00977F85">
      <w:pPr>
        <w:pStyle w:val="a3"/>
        <w:ind w:firstLine="360"/>
        <w:jc w:val="both"/>
      </w:pPr>
      <w:r>
        <w:t xml:space="preserve">- с </w:t>
      </w:r>
      <w:proofErr w:type="spellStart"/>
      <w:r>
        <w:t>раширением</w:t>
      </w:r>
      <w:proofErr w:type="spellEnd"/>
      <w:r>
        <w:t xml:space="preserve"> </w:t>
      </w:r>
      <w:proofErr w:type="spellStart"/>
      <w:r>
        <w:t>тхт</w:t>
      </w:r>
      <w:proofErr w:type="spellEnd"/>
    </w:p>
    <w:p w:rsidR="00977F85" w:rsidRDefault="005B4F81" w:rsidP="00977F85">
      <w:pPr>
        <w:pStyle w:val="a3"/>
        <w:ind w:firstLine="360"/>
        <w:jc w:val="both"/>
      </w:pPr>
      <w:r>
        <w:rPr>
          <w:noProof/>
          <w:lang w:bidi="ug-CN"/>
        </w:rPr>
        <w:drawing>
          <wp:inline distT="0" distB="0" distL="0" distR="0">
            <wp:extent cx="5272216" cy="2481773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2341" cy="2481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F85" w:rsidRDefault="00977F85" w:rsidP="00977F85">
      <w:pPr>
        <w:pStyle w:val="a3"/>
        <w:ind w:firstLine="360"/>
        <w:jc w:val="both"/>
      </w:pPr>
      <w:r>
        <w:t>Или</w:t>
      </w:r>
    </w:p>
    <w:p w:rsidR="00977F85" w:rsidRDefault="00977F85" w:rsidP="00977F85">
      <w:pPr>
        <w:pStyle w:val="a3"/>
        <w:ind w:firstLine="360"/>
        <w:jc w:val="both"/>
      </w:pPr>
      <w:r>
        <w:rPr>
          <w:noProof/>
          <w:lang w:bidi="ug-CN"/>
        </w:rPr>
        <w:lastRenderedPageBreak/>
        <w:drawing>
          <wp:inline distT="0" distB="0" distL="0" distR="0" wp14:anchorId="2C7FFDEB" wp14:editId="6C99C371">
            <wp:extent cx="5940425" cy="3343903"/>
            <wp:effectExtent l="0" t="0" r="317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3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7F85" w:rsidRDefault="00977F85" w:rsidP="00977F85">
      <w:pPr>
        <w:pStyle w:val="a3"/>
        <w:spacing w:before="105" w:beforeAutospacing="0" w:after="105" w:afterAutospacing="0"/>
      </w:pPr>
      <w:r>
        <w:t xml:space="preserve">Кодировка текстового файла может быть в DOS-866 или WIN-1251. </w:t>
      </w:r>
    </w:p>
    <w:p w:rsidR="00977F85" w:rsidRDefault="00AA6559" w:rsidP="00977F85">
      <w:pPr>
        <w:pStyle w:val="a3"/>
        <w:numPr>
          <w:ilvl w:val="0"/>
          <w:numId w:val="1"/>
        </w:numPr>
        <w:spacing w:before="105" w:beforeAutospacing="0" w:after="105" w:afterAutospacing="0"/>
        <w:jc w:val="both"/>
      </w:pPr>
      <w:r>
        <w:t>Н</w:t>
      </w:r>
      <w:r w:rsidR="00977F85">
        <w:t>еобходимо заполнить</w:t>
      </w:r>
      <w:r>
        <w:t xml:space="preserve"> справочники</w:t>
      </w:r>
      <w:r w:rsidR="00977F85">
        <w:t>:</w:t>
      </w:r>
    </w:p>
    <w:p w:rsidR="00977F85" w:rsidRPr="006D5D19" w:rsidRDefault="00977F85" w:rsidP="00CD165D">
      <w:pPr>
        <w:pStyle w:val="a3"/>
        <w:numPr>
          <w:ilvl w:val="0"/>
          <w:numId w:val="2"/>
        </w:numPr>
        <w:spacing w:before="105" w:beforeAutospacing="0" w:after="105" w:afterAutospacing="0"/>
        <w:jc w:val="both"/>
      </w:pPr>
      <w:r>
        <w:t>справочник УК (управления казначейства) в режи</w:t>
      </w:r>
      <w:r w:rsidR="00CD165D">
        <w:t xml:space="preserve">ме </w:t>
      </w:r>
      <w:r w:rsidR="00CD165D" w:rsidRPr="00CD165D">
        <w:rPr>
          <w:b/>
          <w:bCs/>
        </w:rPr>
        <w:t xml:space="preserve">НСИ → </w:t>
      </w:r>
      <w:r w:rsidR="00CD165D">
        <w:rPr>
          <w:b/>
          <w:bCs/>
        </w:rPr>
        <w:t>Бюджетная классификация</w:t>
      </w:r>
      <w:r w:rsidR="00CD165D" w:rsidRPr="00CD165D">
        <w:rPr>
          <w:b/>
          <w:bCs/>
        </w:rPr>
        <w:t xml:space="preserve"> → </w:t>
      </w:r>
      <w:r w:rsidR="00CD165D">
        <w:rPr>
          <w:b/>
          <w:bCs/>
        </w:rPr>
        <w:t xml:space="preserve">УК – Управление казначейства </w:t>
      </w:r>
      <w:r w:rsidR="00CD165D" w:rsidRPr="00CD165D">
        <w:rPr>
          <w:b/>
          <w:bCs/>
        </w:rPr>
        <w:t>→</w:t>
      </w:r>
      <w:r w:rsidR="00CD165D">
        <w:rPr>
          <w:b/>
          <w:bCs/>
        </w:rPr>
        <w:t xml:space="preserve"> </w:t>
      </w:r>
      <w:r w:rsidR="00CD165D">
        <w:rPr>
          <w:b/>
          <w:bCs/>
          <w:noProof/>
          <w:lang w:bidi="ug-CN"/>
        </w:rPr>
        <w:drawing>
          <wp:inline distT="0" distB="0" distL="0" distR="0">
            <wp:extent cx="230505" cy="205740"/>
            <wp:effectExtent l="0" t="0" r="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5DFD">
        <w:t>;</w:t>
      </w:r>
    </w:p>
    <w:p w:rsidR="006D5D19" w:rsidRPr="005C5E90" w:rsidRDefault="006D5D19" w:rsidP="006D5D19">
      <w:pPr>
        <w:pStyle w:val="a3"/>
        <w:numPr>
          <w:ilvl w:val="0"/>
          <w:numId w:val="2"/>
        </w:numPr>
        <w:spacing w:before="105" w:beforeAutospacing="0" w:after="105" w:afterAutospacing="0"/>
        <w:jc w:val="both"/>
        <w:rPr>
          <w:i/>
          <w:iCs/>
          <w:color w:val="FF0000"/>
        </w:rPr>
      </w:pPr>
      <w:r>
        <w:t>Заполните данный справочник</w:t>
      </w:r>
      <w:r>
        <w:rPr>
          <w:b/>
          <w:bCs/>
          <w:noProof/>
          <w:lang w:bidi="ug-CN"/>
        </w:rPr>
        <w:drawing>
          <wp:inline distT="0" distB="0" distL="0" distR="0" wp14:anchorId="1BFC0E24" wp14:editId="2FB74628">
            <wp:extent cx="263525" cy="247015"/>
            <wp:effectExtent l="0" t="0" r="3175" b="63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25" cy="24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 w:rsidR="006D5D19" w:rsidRPr="00082CE8" w:rsidRDefault="006D5D19" w:rsidP="006D5D19">
      <w:pPr>
        <w:pStyle w:val="a3"/>
        <w:spacing w:before="105" w:beforeAutospacing="0" w:after="105" w:afterAutospacing="0"/>
        <w:ind w:left="1080"/>
        <w:jc w:val="both"/>
      </w:pPr>
    </w:p>
    <w:p w:rsidR="00082CE8" w:rsidRPr="00082CE8" w:rsidRDefault="005B4F81" w:rsidP="00082C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bidi="ug-CN"/>
        </w:rPr>
      </w:pPr>
      <w:r>
        <w:rPr>
          <w:rFonts w:ascii="Arial" w:hAnsi="Arial" w:cs="Arial"/>
          <w:noProof/>
          <w:sz w:val="24"/>
          <w:szCs w:val="24"/>
          <w:lang w:eastAsia="ru-RU" w:bidi="ug-CN"/>
        </w:rPr>
        <w:drawing>
          <wp:inline distT="0" distB="0" distL="0" distR="0">
            <wp:extent cx="6466840" cy="2207895"/>
            <wp:effectExtent l="0" t="0" r="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6840" cy="220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5D19" w:rsidRPr="006D5D19" w:rsidRDefault="00E21D2E" w:rsidP="008D0935">
      <w:pPr>
        <w:pStyle w:val="a3"/>
        <w:numPr>
          <w:ilvl w:val="0"/>
          <w:numId w:val="2"/>
        </w:numPr>
        <w:spacing w:before="105" w:beforeAutospacing="0" w:after="105" w:afterAutospacing="0"/>
        <w:jc w:val="both"/>
        <w:rPr>
          <w:i/>
          <w:iCs/>
          <w:color w:val="FF0000"/>
        </w:rPr>
      </w:pPr>
      <w:r>
        <w:t>справочник УБП</w:t>
      </w:r>
      <w:r w:rsidR="00CD165D">
        <w:t xml:space="preserve"> в режиме </w:t>
      </w:r>
      <w:r w:rsidR="00CD165D" w:rsidRPr="008D0935">
        <w:rPr>
          <w:b/>
          <w:bCs/>
        </w:rPr>
        <w:t xml:space="preserve">НСИ → Бюджетная классификация → УБП </w:t>
      </w:r>
      <w:proofErr w:type="gramStart"/>
      <w:r w:rsidR="00CD165D" w:rsidRPr="008D0935">
        <w:rPr>
          <w:b/>
          <w:bCs/>
        </w:rPr>
        <w:t>–У</w:t>
      </w:r>
      <w:proofErr w:type="gramEnd"/>
      <w:r w:rsidR="00CD165D" w:rsidRPr="008D0935">
        <w:rPr>
          <w:b/>
          <w:bCs/>
        </w:rPr>
        <w:t xml:space="preserve">частник бюджетного процесса → </w:t>
      </w:r>
      <w:r w:rsidR="00CD165D">
        <w:rPr>
          <w:b/>
          <w:bCs/>
          <w:noProof/>
          <w:lang w:bidi="ug-CN"/>
        </w:rPr>
        <w:drawing>
          <wp:inline distT="0" distB="0" distL="0" distR="0" wp14:anchorId="310AD05A" wp14:editId="06E7DA66">
            <wp:extent cx="230505" cy="205740"/>
            <wp:effectExtent l="0" t="0" r="0" b="381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165D">
        <w:t xml:space="preserve">. </w:t>
      </w:r>
    </w:p>
    <w:p w:rsidR="008D0935" w:rsidRPr="005C5E90" w:rsidRDefault="008D0935" w:rsidP="008D0935">
      <w:pPr>
        <w:pStyle w:val="a3"/>
        <w:numPr>
          <w:ilvl w:val="0"/>
          <w:numId w:val="2"/>
        </w:numPr>
        <w:spacing w:before="105" w:beforeAutospacing="0" w:after="105" w:afterAutospacing="0"/>
        <w:jc w:val="both"/>
        <w:rPr>
          <w:i/>
          <w:iCs/>
          <w:color w:val="FF0000"/>
        </w:rPr>
      </w:pPr>
      <w:r>
        <w:t>Заполните данный справочник</w:t>
      </w:r>
      <w:r w:rsidR="006D5D19">
        <w:rPr>
          <w:b/>
          <w:bCs/>
          <w:noProof/>
          <w:lang w:bidi="ug-CN"/>
        </w:rPr>
        <w:drawing>
          <wp:inline distT="0" distB="0" distL="0" distR="0" wp14:anchorId="371F45D7" wp14:editId="45C71A41">
            <wp:extent cx="263525" cy="247015"/>
            <wp:effectExtent l="0" t="0" r="3175" b="63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25" cy="24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  <w:bookmarkStart w:id="0" w:name="_GoBack"/>
      <w:bookmarkEnd w:id="0"/>
    </w:p>
    <w:p w:rsidR="008D0935" w:rsidRPr="00243762" w:rsidRDefault="008D0935" w:rsidP="008D0935">
      <w:pPr>
        <w:pStyle w:val="a3"/>
        <w:spacing w:before="105" w:beforeAutospacing="0" w:after="105" w:afterAutospacing="0"/>
        <w:ind w:left="720"/>
        <w:jc w:val="both"/>
        <w:rPr>
          <w:i/>
          <w:iCs/>
          <w:color w:val="FF0000"/>
        </w:rPr>
      </w:pPr>
      <w:r w:rsidRPr="00E3231B">
        <w:rPr>
          <w:b/>
          <w:bCs/>
          <w:color w:val="FF0000"/>
        </w:rPr>
        <w:t>Примечание</w:t>
      </w:r>
      <w:r w:rsidRPr="00E3231B">
        <w:rPr>
          <w:i/>
          <w:iCs/>
          <w:color w:val="FF0000"/>
        </w:rPr>
        <w:t>: прежде, чем выполнить импорт удостоверьтесь, что в справочнике УБП есть код</w:t>
      </w:r>
      <w:r>
        <w:rPr>
          <w:i/>
          <w:iCs/>
          <w:color w:val="FF0000"/>
        </w:rPr>
        <w:t xml:space="preserve"> получателя</w:t>
      </w:r>
      <w:r w:rsidRPr="00E3231B">
        <w:rPr>
          <w:i/>
          <w:iCs/>
          <w:color w:val="FF0000"/>
        </w:rPr>
        <w:t xml:space="preserve">, который заявлен в строке </w:t>
      </w:r>
      <w:r w:rsidRPr="00E3231B">
        <w:rPr>
          <w:i/>
          <w:iCs/>
          <w:color w:val="FF0000"/>
          <w:lang w:val="en-US"/>
        </w:rPr>
        <w:t>TO</w:t>
      </w:r>
      <w:r w:rsidRPr="00E3231B">
        <w:rPr>
          <w:i/>
          <w:iCs/>
          <w:color w:val="FF0000"/>
        </w:rPr>
        <w:t xml:space="preserve"> файла импорта, например, 00008(</w:t>
      </w:r>
      <w:r w:rsidRPr="00E3231B">
        <w:rPr>
          <w:i/>
          <w:iCs/>
          <w:color w:val="FF0000"/>
        </w:rPr>
        <w:fldChar w:fldCharType="begin"/>
      </w:r>
      <w:r w:rsidRPr="00E3231B">
        <w:rPr>
          <w:i/>
          <w:iCs/>
          <w:color w:val="FF0000"/>
        </w:rPr>
        <w:instrText xml:space="preserve"> REF _Ref396311950 \h  \* MERGEFORMAT </w:instrText>
      </w:r>
      <w:r w:rsidRPr="00E3231B">
        <w:rPr>
          <w:i/>
          <w:iCs/>
          <w:color w:val="FF0000"/>
        </w:rPr>
      </w:r>
      <w:r w:rsidRPr="00E3231B">
        <w:rPr>
          <w:i/>
          <w:iCs/>
          <w:color w:val="FF0000"/>
        </w:rPr>
        <w:fldChar w:fldCharType="separate"/>
      </w:r>
      <w:r w:rsidRPr="00E3231B">
        <w:rPr>
          <w:i/>
          <w:iCs/>
          <w:color w:val="FF0000"/>
        </w:rPr>
        <w:t>Рисунок 1</w:t>
      </w:r>
      <w:r w:rsidRPr="00E3231B">
        <w:rPr>
          <w:i/>
          <w:iCs/>
          <w:color w:val="FF0000"/>
        </w:rPr>
        <w:fldChar w:fldCharType="end"/>
      </w:r>
      <w:r w:rsidRPr="00E3231B">
        <w:rPr>
          <w:i/>
          <w:iCs/>
          <w:color w:val="FF0000"/>
        </w:rPr>
        <w:t>).</w:t>
      </w:r>
      <w:r>
        <w:rPr>
          <w:i/>
          <w:iCs/>
          <w:color w:val="FF0000"/>
        </w:rPr>
        <w:t xml:space="preserve"> В том случае, если код получателя не задан в справочнике УБП, то импорт выполнится по строке </w:t>
      </w:r>
      <w:r>
        <w:rPr>
          <w:i/>
          <w:iCs/>
          <w:color w:val="FF0000"/>
          <w:lang w:val="en-US"/>
        </w:rPr>
        <w:t>From</w:t>
      </w:r>
      <w:r>
        <w:rPr>
          <w:i/>
          <w:iCs/>
          <w:color w:val="FF0000"/>
        </w:rPr>
        <w:t xml:space="preserve"> по коду отправителя.</w:t>
      </w:r>
    </w:p>
    <w:p w:rsidR="00B05DFD" w:rsidRPr="00B05DFD" w:rsidRDefault="008D0935" w:rsidP="008D0935">
      <w:pPr>
        <w:pStyle w:val="a3"/>
        <w:spacing w:before="105" w:beforeAutospacing="0" w:after="105" w:afterAutospacing="0"/>
        <w:jc w:val="both"/>
      </w:pPr>
      <w:r>
        <w:rPr>
          <w:noProof/>
          <w:lang w:bidi="ug-CN"/>
        </w:rPr>
        <w:lastRenderedPageBreak/>
        <w:drawing>
          <wp:inline distT="0" distB="0" distL="0" distR="0" wp14:anchorId="458A3D8A" wp14:editId="6367AFEC">
            <wp:extent cx="6470650" cy="3482975"/>
            <wp:effectExtent l="0" t="0" r="6350" b="317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0" cy="348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47F5" w:rsidRDefault="007A47F5" w:rsidP="007A47F5">
      <w:pPr>
        <w:pStyle w:val="a3"/>
        <w:numPr>
          <w:ilvl w:val="0"/>
          <w:numId w:val="2"/>
        </w:numPr>
        <w:spacing w:before="105" w:beforeAutospacing="0" w:after="105" w:afterAutospacing="0"/>
        <w:jc w:val="both"/>
      </w:pPr>
      <w:r>
        <w:t xml:space="preserve">во всех иерархичных справочниках </w:t>
      </w:r>
      <w:r w:rsidR="00E21D2E">
        <w:t>задач</w:t>
      </w:r>
      <w:r>
        <w:t>и</w:t>
      </w:r>
      <w:r w:rsidR="00E21D2E">
        <w:t xml:space="preserve"> 042</w:t>
      </w:r>
      <w:r>
        <w:t xml:space="preserve"> заполните поле </w:t>
      </w:r>
      <w:r w:rsidRPr="009C6E79">
        <w:rPr>
          <w:b/>
          <w:bCs/>
        </w:rPr>
        <w:t>УБП Код</w:t>
      </w:r>
      <w:r>
        <w:t>, ранее указанный в справочнике УБП (позиция 2)</w:t>
      </w:r>
      <w:r w:rsidR="00E21D2E">
        <w:t>.</w:t>
      </w:r>
      <w:r>
        <w:t xml:space="preserve"> Например, Ирх_Рег</w:t>
      </w:r>
      <w:proofErr w:type="gramStart"/>
      <w:r>
        <w:t>2</w:t>
      </w:r>
      <w:proofErr w:type="gramEnd"/>
      <w:r>
        <w:t>:</w:t>
      </w:r>
    </w:p>
    <w:p w:rsidR="007A47F5" w:rsidRDefault="005B4F81" w:rsidP="007A47F5">
      <w:pPr>
        <w:pStyle w:val="a3"/>
        <w:spacing w:before="105" w:beforeAutospacing="0" w:after="105" w:afterAutospacing="0"/>
        <w:jc w:val="center"/>
      </w:pPr>
      <w:r>
        <w:rPr>
          <w:noProof/>
          <w:lang w:bidi="ug-CN"/>
        </w:rPr>
        <w:drawing>
          <wp:inline distT="0" distB="0" distL="0" distR="0">
            <wp:extent cx="6475095" cy="2809240"/>
            <wp:effectExtent l="0" t="0" r="190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095" cy="280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F85" w:rsidRDefault="009E399C" w:rsidP="000B121F">
      <w:pPr>
        <w:pStyle w:val="a3"/>
        <w:numPr>
          <w:ilvl w:val="0"/>
          <w:numId w:val="1"/>
        </w:numPr>
        <w:spacing w:before="105" w:beforeAutospacing="0" w:after="105" w:afterAutospacing="0"/>
        <w:jc w:val="both"/>
      </w:pPr>
      <w:r>
        <w:t>Текстовый файл загрузить в Скиф БП</w:t>
      </w:r>
      <w:r w:rsidR="00977F85">
        <w:t>, используя стандартную процедуру импорта из текстового файла. Загрузка формы 0502152 в форму 652 осуществляется, начиная с  августа 2008 года (</w:t>
      </w:r>
      <w:r w:rsidR="00977F85" w:rsidRPr="007A47F5">
        <w:rPr>
          <w:b/>
          <w:bCs/>
        </w:rPr>
        <w:t>по состоянию на 01.09.2008 года</w:t>
      </w:r>
      <w:r w:rsidR="00977F85">
        <w:t xml:space="preserve">). </w:t>
      </w:r>
    </w:p>
    <w:p w:rsidR="001D784E" w:rsidRPr="001D784E" w:rsidRDefault="001D784E" w:rsidP="001D784E">
      <w:pPr>
        <w:pStyle w:val="a6"/>
        <w:spacing w:before="105" w:after="10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Импорт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1D784E" w:rsidRDefault="001D784E" w:rsidP="001D784E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ug-CN"/>
        </w:rPr>
        <w:t>п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>оместите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 xml:space="preserve"> исходные файлы или </w:t>
      </w:r>
      <w:r>
        <w:rPr>
          <w:rFonts w:ascii="Times New Roman" w:hAnsi="Times New Roman" w:cs="Times New Roman"/>
          <w:color w:val="000000"/>
          <w:sz w:val="24"/>
          <w:szCs w:val="24"/>
          <w:lang w:bidi="ug-CN"/>
        </w:rPr>
        <w:t xml:space="preserve">в </w:t>
      </w:r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>архив, или в отдельную папку</w:t>
      </w:r>
      <w:r>
        <w:rPr>
          <w:rFonts w:ascii="Times New Roman" w:hAnsi="Times New Roman" w:cs="Times New Roman"/>
          <w:color w:val="000000"/>
          <w:sz w:val="24"/>
          <w:szCs w:val="24"/>
          <w:lang w:bidi="ug-CN"/>
        </w:rPr>
        <w:t>;</w:t>
      </w:r>
    </w:p>
    <w:p w:rsidR="001D784E" w:rsidRPr="006220B2" w:rsidRDefault="001D784E" w:rsidP="001D784E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ug-CN"/>
        </w:rPr>
        <w:t>а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>ктивируйте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x-none" w:bidi="ug-CN"/>
        </w:rPr>
        <w:t xml:space="preserve"> АРМ «Импорт»</w:t>
      </w:r>
      <w:r>
        <w:rPr>
          <w:rFonts w:ascii="Times New Roman" w:hAnsi="Times New Roman" w:cs="Times New Roman"/>
          <w:color w:val="000000"/>
          <w:sz w:val="24"/>
          <w:szCs w:val="24"/>
          <w:lang w:bidi="ug-CN"/>
        </w:rPr>
        <w:t>;</w:t>
      </w:r>
    </w:p>
    <w:p w:rsidR="001D784E" w:rsidRDefault="001D784E" w:rsidP="001D784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 w:bidi="ug-CN"/>
        </w:rPr>
        <w:lastRenderedPageBreak/>
        <w:drawing>
          <wp:inline distT="0" distB="0" distL="0" distR="0" wp14:anchorId="10DACD28" wp14:editId="34FD31C0">
            <wp:extent cx="5931535" cy="3501390"/>
            <wp:effectExtent l="0" t="0" r="0" b="381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3501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784E" w:rsidRDefault="001D784E" w:rsidP="00823779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ug-CN"/>
        </w:rPr>
        <w:t>н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>астройте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 xml:space="preserve"> все опции для импорта</w:t>
      </w:r>
      <w:r>
        <w:rPr>
          <w:rFonts w:ascii="Times New Roman" w:hAnsi="Times New Roman" w:cs="Times New Roman"/>
          <w:color w:val="000000"/>
          <w:sz w:val="24"/>
          <w:szCs w:val="24"/>
          <w:lang w:bidi="ug-CN"/>
        </w:rPr>
        <w:t>: параметры (позиция 1) и протоколы (позиция 2);</w:t>
      </w:r>
    </w:p>
    <w:p w:rsidR="001D784E" w:rsidRDefault="001D784E" w:rsidP="001D784E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ug-CN"/>
        </w:rPr>
        <w:t>н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>ажмите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 xml:space="preserve"> кнопку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x-none" w:bidi="ug-CN"/>
        </w:rPr>
        <w:t>В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x-none" w:bidi="ug-CN"/>
        </w:rPr>
        <w:t>ыбрать каталог для импорта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bidi="ug-CN"/>
        </w:rPr>
        <w:t xml:space="preserve"> </w:t>
      </w:r>
      <w:r w:rsidRPr="009F2022">
        <w:rPr>
          <w:rFonts w:ascii="Times New Roman" w:hAnsi="Times New Roman" w:cs="Times New Roman"/>
          <w:color w:val="000000"/>
          <w:sz w:val="24"/>
          <w:szCs w:val="24"/>
          <w:lang w:bidi="ug-CN"/>
        </w:rPr>
        <w:t>(позиция 3)</w:t>
      </w:r>
      <w:r>
        <w:rPr>
          <w:rFonts w:ascii="Times New Roman" w:hAnsi="Times New Roman" w:cs="Times New Roman"/>
          <w:color w:val="000000"/>
          <w:sz w:val="24"/>
          <w:szCs w:val="24"/>
          <w:lang w:bidi="ug-CN"/>
        </w:rPr>
        <w:t>;</w:t>
      </w:r>
    </w:p>
    <w:p w:rsidR="001D784E" w:rsidRPr="00A8500F" w:rsidRDefault="001D784E" w:rsidP="001D784E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ug-CN"/>
        </w:rPr>
        <w:t xml:space="preserve">в </w:t>
      </w:r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 xml:space="preserve">появившемся окне укажите каталог с файлами для импорта, нажмите кнопку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x-none" w:bidi="ug-CN"/>
        </w:rPr>
        <w:t>ОК</w:t>
      </w:r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>.</w:t>
      </w:r>
    </w:p>
    <w:p w:rsidR="001D784E" w:rsidRDefault="001D784E" w:rsidP="001D784E">
      <w:pPr>
        <w:autoSpaceDE w:val="0"/>
        <w:autoSpaceDN w:val="0"/>
        <w:adjustRightInd w:val="0"/>
        <w:spacing w:after="0" w:line="360" w:lineRule="auto"/>
        <w:ind w:left="1068" w:hanging="1068"/>
        <w:jc w:val="center"/>
        <w:rPr>
          <w:rFonts w:ascii="Times New Roman" w:hAnsi="Times New Roman" w:cs="Times New Roman"/>
          <w:color w:val="000000"/>
          <w:sz w:val="24"/>
          <w:szCs w:val="24"/>
          <w:lang w:bidi="ug-CN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 w:bidi="ug-CN"/>
        </w:rPr>
        <w:drawing>
          <wp:inline distT="0" distB="0" distL="0" distR="0" wp14:anchorId="02362799" wp14:editId="7299CC21">
            <wp:extent cx="3008034" cy="3377514"/>
            <wp:effectExtent l="0" t="0" r="190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7962" cy="3377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784E" w:rsidRDefault="001D784E" w:rsidP="001D784E">
      <w:pPr>
        <w:autoSpaceDE w:val="0"/>
        <w:autoSpaceDN w:val="0"/>
        <w:adjustRightInd w:val="0"/>
        <w:spacing w:after="0" w:line="360" w:lineRule="auto"/>
        <w:ind w:left="1575"/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>Чтение каталога займет некоторое время и будет сопровождаться сообщением интерактивного типа:</w:t>
      </w:r>
    </w:p>
    <w:p w:rsidR="001D784E" w:rsidRDefault="001D784E" w:rsidP="001D784E">
      <w:pPr>
        <w:autoSpaceDE w:val="0"/>
        <w:autoSpaceDN w:val="0"/>
        <w:adjustRightInd w:val="0"/>
        <w:spacing w:after="0" w:line="360" w:lineRule="auto"/>
        <w:ind w:left="1068" w:hanging="1068"/>
        <w:jc w:val="center"/>
        <w:rPr>
          <w:rFonts w:ascii="Times New Roman" w:hAnsi="Times New Roman" w:cs="Times New Roman"/>
          <w:color w:val="000000"/>
          <w:sz w:val="24"/>
          <w:szCs w:val="24"/>
          <w:lang w:bidi="ug-CN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 w:bidi="ug-CN"/>
        </w:rPr>
        <w:drawing>
          <wp:inline distT="0" distB="0" distL="0" distR="0" wp14:anchorId="11390CFF" wp14:editId="54B4588B">
            <wp:extent cx="3228975" cy="972185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784E" w:rsidRDefault="001D784E" w:rsidP="001D784E">
      <w:pPr>
        <w:autoSpaceDE w:val="0"/>
        <w:autoSpaceDN w:val="0"/>
        <w:adjustRightInd w:val="0"/>
        <w:spacing w:after="0" w:line="360" w:lineRule="auto"/>
        <w:ind w:left="1575"/>
        <w:rPr>
          <w:rFonts w:ascii="Times New Roman" w:hAnsi="Times New Roman" w:cs="Times New Roman"/>
          <w:color w:val="000000"/>
          <w:sz w:val="24"/>
          <w:szCs w:val="24"/>
          <w:lang w:bidi="ug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>Далее рабочее окно отобразит список распознанных файлов</w:t>
      </w:r>
      <w:r>
        <w:rPr>
          <w:rFonts w:ascii="Times New Roman" w:hAnsi="Times New Roman" w:cs="Times New Roman"/>
          <w:color w:val="000000"/>
          <w:sz w:val="24"/>
          <w:szCs w:val="24"/>
          <w:lang w:bidi="ug-CN"/>
        </w:rPr>
        <w:t>. Данные файлы автоматически будут отмечены галочками.</w:t>
      </w:r>
    </w:p>
    <w:p w:rsidR="001D784E" w:rsidRDefault="001D784E" w:rsidP="001D784E">
      <w:pPr>
        <w:autoSpaceDE w:val="0"/>
        <w:autoSpaceDN w:val="0"/>
        <w:adjustRightInd w:val="0"/>
        <w:spacing w:after="0" w:line="360" w:lineRule="auto"/>
        <w:ind w:left="1575" w:hanging="1575"/>
        <w:jc w:val="center"/>
        <w:rPr>
          <w:rFonts w:ascii="Times New Roman" w:hAnsi="Times New Roman" w:cs="Times New Roman"/>
          <w:color w:val="000000"/>
          <w:sz w:val="24"/>
          <w:szCs w:val="24"/>
          <w:lang w:bidi="ug-CN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 w:bidi="ug-CN"/>
        </w:rPr>
        <w:lastRenderedPageBreak/>
        <w:drawing>
          <wp:inline distT="0" distB="0" distL="0" distR="0" wp14:anchorId="25B5B865" wp14:editId="476FC3BF">
            <wp:extent cx="6466840" cy="383032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6840" cy="383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784E" w:rsidRPr="00497D4E" w:rsidRDefault="001D784E" w:rsidP="00010D7E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ug-CN"/>
        </w:rPr>
        <w:t>д</w:t>
      </w:r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 xml:space="preserve">ля импорта нажмите кнопку </w:t>
      </w:r>
      <w:proofErr w:type="gramStart"/>
      <w:r w:rsidRPr="00497D4E">
        <w:rPr>
          <w:rFonts w:ascii="Times New Roman" w:hAnsi="Times New Roman" w:cs="Times New Roman"/>
          <w:b/>
          <w:bCs/>
          <w:color w:val="000000"/>
          <w:sz w:val="24"/>
          <w:szCs w:val="24"/>
          <w:lang w:val="x-none" w:bidi="ug-CN"/>
        </w:rPr>
        <w:t>Импорт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 xml:space="preserve"> и строка прогресса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>от</w:t>
      </w:r>
      <w:r w:rsidR="00010D7E">
        <w:rPr>
          <w:rFonts w:ascii="Times New Roman" w:hAnsi="Times New Roman" w:cs="Times New Roman"/>
          <w:color w:val="000000"/>
          <w:sz w:val="24"/>
          <w:szCs w:val="24"/>
          <w:lang w:bidi="ug-CN"/>
        </w:rPr>
        <w:t>об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>разит состояние загрузки файлов.</w:t>
      </w:r>
    </w:p>
    <w:p w:rsidR="001D784E" w:rsidRDefault="001D784E" w:rsidP="001D784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 w:bidi="ug-CN"/>
        </w:rPr>
        <w:drawing>
          <wp:inline distT="0" distB="0" distL="0" distR="0" wp14:anchorId="42B874D6" wp14:editId="39671713">
            <wp:extent cx="5774690" cy="1038225"/>
            <wp:effectExtent l="0" t="0" r="0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469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121F" w:rsidRDefault="001D784E" w:rsidP="001D784E">
      <w:pPr>
        <w:pStyle w:val="a3"/>
        <w:spacing w:before="105" w:beforeAutospacing="0" w:after="105" w:afterAutospacing="0"/>
        <w:ind w:left="720"/>
        <w:jc w:val="both"/>
      </w:pPr>
      <w:r>
        <w:rPr>
          <w:color w:val="000000"/>
          <w:lang w:val="x-none" w:bidi="ug-CN"/>
        </w:rPr>
        <w:t xml:space="preserve">После операции импорта будет сформирован </w:t>
      </w:r>
      <w:r>
        <w:rPr>
          <w:color w:val="000000"/>
          <w:lang w:bidi="ug-CN"/>
        </w:rPr>
        <w:t xml:space="preserve"> </w:t>
      </w:r>
      <w:r>
        <w:rPr>
          <w:color w:val="000000"/>
          <w:lang w:val="x-none" w:bidi="ug-CN"/>
        </w:rPr>
        <w:t xml:space="preserve">протокол с детальным анализом по всем импортируемым файлам. В случае если при импорте будут выявлены ошибки, то протокол </w:t>
      </w:r>
      <w:proofErr w:type="spellStart"/>
      <w:r>
        <w:rPr>
          <w:color w:val="000000"/>
          <w:lang w:val="x-none" w:bidi="ug-CN"/>
        </w:rPr>
        <w:t>от</w:t>
      </w:r>
      <w:r>
        <w:rPr>
          <w:color w:val="000000"/>
          <w:lang w:bidi="ug-CN"/>
        </w:rPr>
        <w:t>об</w:t>
      </w:r>
      <w:proofErr w:type="spellEnd"/>
      <w:r>
        <w:rPr>
          <w:color w:val="000000"/>
          <w:lang w:val="x-none" w:bidi="ug-CN"/>
        </w:rPr>
        <w:t>разит все проблематичные места</w:t>
      </w:r>
      <w:r w:rsidR="007A47F5">
        <w:rPr>
          <w:color w:val="000000"/>
          <w:lang w:bidi="ug-CN"/>
        </w:rPr>
        <w:t xml:space="preserve"> выделив их красным цветом</w:t>
      </w:r>
      <w:r>
        <w:rPr>
          <w:color w:val="000000"/>
          <w:lang w:val="x-none" w:bidi="ug-CN"/>
        </w:rPr>
        <w:t>.</w:t>
      </w:r>
    </w:p>
    <w:p w:rsidR="000B121F" w:rsidRDefault="00E54C88" w:rsidP="00E54C88">
      <w:pPr>
        <w:pStyle w:val="a3"/>
        <w:spacing w:before="105" w:beforeAutospacing="0" w:after="105" w:afterAutospacing="0"/>
        <w:ind w:left="720" w:hanging="720"/>
        <w:jc w:val="center"/>
      </w:pPr>
      <w:r>
        <w:rPr>
          <w:noProof/>
          <w:lang w:bidi="ug-CN"/>
        </w:rPr>
        <w:lastRenderedPageBreak/>
        <w:drawing>
          <wp:inline distT="0" distB="0" distL="0" distR="0">
            <wp:extent cx="5939790" cy="5107305"/>
            <wp:effectExtent l="0" t="0" r="381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5107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60B" w:rsidRDefault="00DB660B" w:rsidP="003B0CA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lang w:val="x-none" w:bidi="ug-CN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x-none" w:bidi="ug-CN"/>
        </w:rPr>
        <w:t>Примечание.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x-none" w:bidi="ug-CN"/>
        </w:rPr>
        <w:t xml:space="preserve"> При импорте формы 6520</w:t>
      </w:r>
      <w:r w:rsidR="003B0CAF" w:rsidRPr="003B0CAF">
        <w:rPr>
          <w:rFonts w:ascii="Times New Roman" w:hAnsi="Times New Roman" w:cs="Times New Roman"/>
          <w:i/>
          <w:iCs/>
          <w:color w:val="000000"/>
          <w:sz w:val="24"/>
          <w:szCs w:val="24"/>
          <w:lang w:bidi="ug-CN"/>
        </w:rPr>
        <w:t>1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x-none" w:bidi="ug-CN"/>
        </w:rPr>
        <w:t xml:space="preserve"> для кодов, не входящих в боковик, но содержащие </w:t>
      </w:r>
      <w:r w:rsidRPr="00DB660B">
        <w:rPr>
          <w:rFonts w:ascii="Times New Roman" w:hAnsi="Times New Roman" w:cs="Times New Roman"/>
          <w:i/>
          <w:iCs/>
          <w:color w:val="000000"/>
          <w:sz w:val="24"/>
          <w:szCs w:val="24"/>
          <w:lang w:val="x-none" w:bidi="ug-CN"/>
        </w:rPr>
        <w:t>подвиды дохода, происходит суммирование их в код подвида ‘0000’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x-none" w:bidi="ug-CN"/>
        </w:rPr>
        <w:t>. Также при импорте форм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bidi="ug-CN"/>
        </w:rPr>
        <w:t>ы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x-none" w:bidi="ug-CN"/>
        </w:rPr>
        <w:t xml:space="preserve"> </w:t>
      </w:r>
      <w:r w:rsidR="00A92496">
        <w:rPr>
          <w:rFonts w:ascii="Times New Roman" w:hAnsi="Times New Roman" w:cs="Times New Roman"/>
          <w:i/>
          <w:iCs/>
          <w:color w:val="000000"/>
          <w:sz w:val="24"/>
          <w:szCs w:val="24"/>
          <w:lang w:val="x-none" w:bidi="ug-CN"/>
        </w:rPr>
        <w:t>6520</w:t>
      </w:r>
      <w:r w:rsidR="00A92496" w:rsidRPr="003B0CAF">
        <w:rPr>
          <w:rFonts w:ascii="Times New Roman" w:hAnsi="Times New Roman" w:cs="Times New Roman"/>
          <w:i/>
          <w:iCs/>
          <w:color w:val="000000"/>
          <w:sz w:val="24"/>
          <w:szCs w:val="24"/>
          <w:lang w:bidi="ug-CN"/>
        </w:rPr>
        <w:t>1</w:t>
      </w:r>
      <w:r w:rsidR="00A92496">
        <w:rPr>
          <w:rFonts w:ascii="Times New Roman" w:hAnsi="Times New Roman" w:cs="Times New Roman"/>
          <w:i/>
          <w:iCs/>
          <w:color w:val="000000"/>
          <w:sz w:val="24"/>
          <w:szCs w:val="24"/>
          <w:lang w:bidi="ug-CN"/>
        </w:rPr>
        <w:t xml:space="preserve"> и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x-none" w:bidi="ug-CN"/>
        </w:rPr>
        <w:t>65202 данные с за двоенными кодами суммируются.</w:t>
      </w:r>
    </w:p>
    <w:p w:rsidR="00E54C88" w:rsidRPr="00E54C88" w:rsidRDefault="00E54C88" w:rsidP="00E54C88">
      <w:pPr>
        <w:pStyle w:val="a3"/>
        <w:numPr>
          <w:ilvl w:val="0"/>
          <w:numId w:val="1"/>
        </w:numPr>
        <w:spacing w:before="105" w:beforeAutospacing="0" w:after="105" w:afterAutospacing="0"/>
        <w:jc w:val="both"/>
      </w:pPr>
      <w:r w:rsidRPr="00E54C88">
        <w:t>Сверка</w:t>
      </w:r>
    </w:p>
    <w:p w:rsidR="00E54C88" w:rsidRDefault="00E54C88" w:rsidP="00E54C88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>Запустите или перейдите в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x-none" w:bidi="ug-CN"/>
        </w:rPr>
        <w:t xml:space="preserve"> АРМ «Оператор»</w:t>
      </w:r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 xml:space="preserve">. Проверьте, все ли формы успешно импортированы. Если формы не были подгружены, выполните обновление кнопкой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 w:bidi="ug-CN"/>
        </w:rPr>
        <w:drawing>
          <wp:inline distT="0" distB="0" distL="0" distR="0" wp14:anchorId="4AD55EBD" wp14:editId="76A049CE">
            <wp:extent cx="222250" cy="197485"/>
            <wp:effectExtent l="0" t="0" r="635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" cy="19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 xml:space="preserve"> или перезапустите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x-none" w:bidi="ug-CN"/>
        </w:rPr>
        <w:t>АРМ «Оператор»</w:t>
      </w:r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>.</w:t>
      </w:r>
    </w:p>
    <w:p w:rsidR="00E54C88" w:rsidRPr="004B1743" w:rsidRDefault="00E54C88" w:rsidP="003B0CAF">
      <w:pPr>
        <w:pStyle w:val="a6"/>
        <w:numPr>
          <w:ilvl w:val="0"/>
          <w:numId w:val="6"/>
        </w:numPr>
        <w:spacing w:before="105" w:after="10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Выполните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досчёт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загруженной  формы </w:t>
      </w:r>
      <w:r w:rsidR="00F659EC" w:rsidRPr="00F659EC">
        <w:rPr>
          <w:rFonts w:ascii="Times New Roman" w:hAnsi="Times New Roman" w:cs="Times New Roman"/>
          <w:sz w:val="24"/>
          <w:szCs w:val="24"/>
          <w:lang w:val="x-none" w:bidi="ug-CN"/>
        </w:rPr>
        <w:t>65</w:t>
      </w:r>
      <w:r w:rsidR="00F659EC" w:rsidRPr="00F659EC">
        <w:rPr>
          <w:rFonts w:ascii="Times New Roman" w:hAnsi="Times New Roman" w:cs="Times New Roman"/>
          <w:sz w:val="24"/>
          <w:szCs w:val="24"/>
          <w:lang w:bidi="ug-CN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65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этого используйте кнопку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 w:bidi="ug-CN"/>
        </w:rPr>
        <w:drawing>
          <wp:inline distT="0" distB="0" distL="0" distR="0" wp14:anchorId="0AFB6E11" wp14:editId="6ABA3B92">
            <wp:extent cx="255270" cy="247015"/>
            <wp:effectExtent l="0" t="0" r="0" b="63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4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54C88" w:rsidRPr="004B1743" w:rsidRDefault="00E54C88" w:rsidP="00E54C88">
      <w:pPr>
        <w:pStyle w:val="a6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>Досчет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bidi="ug-CN"/>
        </w:rPr>
        <w:t xml:space="preserve"> </w:t>
      </w:r>
      <w:r w:rsidRPr="004B1743"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>запускает алгоритм пересчета досчитываемых ячеек после процесса ввода или редактирования, как в режиме ввода данных, так и вне режима (при фокусировании указателя на данном документе в таблице списка документов).</w:t>
      </w:r>
    </w:p>
    <w:p w:rsidR="00E54C88" w:rsidRPr="004B1743" w:rsidRDefault="00E54C88" w:rsidP="00E54C88">
      <w:pPr>
        <w:pStyle w:val="a6"/>
        <w:numPr>
          <w:ilvl w:val="0"/>
          <w:numId w:val="6"/>
        </w:numPr>
        <w:spacing w:before="105" w:after="10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Выполните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междокументный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контроль, для этого используйте кнопку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 w:bidi="ug-CN"/>
        </w:rPr>
        <w:drawing>
          <wp:inline distT="0" distB="0" distL="0" distR="0" wp14:anchorId="68B44065" wp14:editId="6617461F">
            <wp:extent cx="238760" cy="238760"/>
            <wp:effectExtent l="0" t="0" r="8890" b="889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54C88" w:rsidRDefault="00E54C88" w:rsidP="00E54C88">
      <w:pPr>
        <w:autoSpaceDE w:val="0"/>
        <w:autoSpaceDN w:val="0"/>
        <w:adjustRightInd w:val="0"/>
        <w:spacing w:after="0" w:line="444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ug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ug-CN"/>
        </w:rPr>
        <w:t>МДК и</w:t>
      </w:r>
      <w:proofErr w:type="spellStart"/>
      <w:r w:rsidRPr="004B1743"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>спо</w:t>
      </w:r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>льзуется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 xml:space="preserve"> для контроля (</w:t>
      </w:r>
      <w:r>
        <w:rPr>
          <w:rFonts w:ascii="Times New Roman" w:hAnsi="Times New Roman" w:cs="Times New Roman"/>
          <w:color w:val="000000"/>
          <w:sz w:val="24"/>
          <w:szCs w:val="24"/>
          <w:lang w:bidi="ug-CN"/>
        </w:rPr>
        <w:t>сверки</w:t>
      </w:r>
      <w:r w:rsidRPr="004B1743"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>) данных в двух и более связанных документах.</w:t>
      </w:r>
      <w:r>
        <w:rPr>
          <w:rFonts w:ascii="Times New Roman" w:hAnsi="Times New Roman" w:cs="Times New Roman"/>
          <w:color w:val="000000"/>
          <w:sz w:val="24"/>
          <w:szCs w:val="24"/>
          <w:lang w:bidi="ug-CN"/>
        </w:rPr>
        <w:t xml:space="preserve"> В результате выполнения МДК, будет сформирован протокол выполнения сверки данной формы.</w:t>
      </w:r>
    </w:p>
    <w:p w:rsidR="00E54C88" w:rsidRPr="004B1743" w:rsidRDefault="00E54C88" w:rsidP="00E54C88">
      <w:pPr>
        <w:autoSpaceDE w:val="0"/>
        <w:autoSpaceDN w:val="0"/>
        <w:adjustRightInd w:val="0"/>
        <w:spacing w:after="0" w:line="444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ug-CN"/>
        </w:rPr>
      </w:pPr>
    </w:p>
    <w:p w:rsidR="003C5D35" w:rsidRDefault="003C5D35"/>
    <w:sectPr w:rsidR="003C5D35" w:rsidSect="00E54C8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217F"/>
    <w:multiLevelType w:val="hybridMultilevel"/>
    <w:tmpl w:val="6972D96A"/>
    <w:lvl w:ilvl="0" w:tplc="EF2E4CF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7712D"/>
    <w:multiLevelType w:val="hybridMultilevel"/>
    <w:tmpl w:val="5BBE1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6A49EA"/>
    <w:multiLevelType w:val="hybridMultilevel"/>
    <w:tmpl w:val="4876640A"/>
    <w:lvl w:ilvl="0" w:tplc="104CA648">
      <w:start w:val="1"/>
      <w:numFmt w:val="bullet"/>
      <w:lvlText w:val="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>
    <w:nsid w:val="17C91F30"/>
    <w:multiLevelType w:val="hybridMultilevel"/>
    <w:tmpl w:val="EDDA5842"/>
    <w:lvl w:ilvl="0" w:tplc="620CE10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3691304"/>
    <w:multiLevelType w:val="hybridMultilevel"/>
    <w:tmpl w:val="78E20062"/>
    <w:lvl w:ilvl="0" w:tplc="EF2E4CF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834989"/>
    <w:multiLevelType w:val="hybridMultilevel"/>
    <w:tmpl w:val="50B48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BB6D5F"/>
    <w:multiLevelType w:val="hybridMultilevel"/>
    <w:tmpl w:val="30D82336"/>
    <w:lvl w:ilvl="0" w:tplc="EF2E4CFA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F85"/>
    <w:rsid w:val="00010D7E"/>
    <w:rsid w:val="00082CE8"/>
    <w:rsid w:val="000B121F"/>
    <w:rsid w:val="001A71E9"/>
    <w:rsid w:val="001D784E"/>
    <w:rsid w:val="003B0CAF"/>
    <w:rsid w:val="003C5D35"/>
    <w:rsid w:val="005B4F81"/>
    <w:rsid w:val="005B7762"/>
    <w:rsid w:val="006D5D19"/>
    <w:rsid w:val="00702A03"/>
    <w:rsid w:val="007062D6"/>
    <w:rsid w:val="007A47F5"/>
    <w:rsid w:val="00823779"/>
    <w:rsid w:val="008D0935"/>
    <w:rsid w:val="00977F85"/>
    <w:rsid w:val="009C6E79"/>
    <w:rsid w:val="009D7C61"/>
    <w:rsid w:val="009E399C"/>
    <w:rsid w:val="00A92496"/>
    <w:rsid w:val="00AA6559"/>
    <w:rsid w:val="00B05DFD"/>
    <w:rsid w:val="00BA67C8"/>
    <w:rsid w:val="00CC27B5"/>
    <w:rsid w:val="00CD165D"/>
    <w:rsid w:val="00DB660B"/>
    <w:rsid w:val="00DF30C7"/>
    <w:rsid w:val="00E21D2E"/>
    <w:rsid w:val="00E41488"/>
    <w:rsid w:val="00E54C88"/>
    <w:rsid w:val="00F65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7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77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7F8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D78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7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77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7F8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D78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1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F0A56-51C2-4ABB-9906-22B079BA7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</TotalTime>
  <Pages>6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ФИНТЕХ</Company>
  <LinksUpToDate>false</LinksUpToDate>
  <CharactersWithSpaces>3796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Кузина Ирина Николаевна</dc:creator>
  <cp:lastModifiedBy>Десятник Нина Ивановна</cp:lastModifiedBy>
  <cp:revision>23</cp:revision>
  <dcterms:created xsi:type="dcterms:W3CDTF">2013-11-22T08:45:00Z</dcterms:created>
  <dcterms:modified xsi:type="dcterms:W3CDTF">2014-10-06T10:05:00Z</dcterms:modified>
</cp:coreProperties>
</file>